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E4" w:rsidRDefault="00FD2BE4" w:rsidP="00FD2BE4">
      <w:pPr>
        <w:pStyle w:val="Portadaarriba"/>
        <w:spacing w:before="0" w:after="0"/>
        <w:rPr>
          <w:rFonts w:ascii="Arial" w:hAnsi="Arial"/>
          <w:sz w:val="40"/>
          <w:szCs w:val="40"/>
        </w:rPr>
      </w:pPr>
      <w:bookmarkStart w:id="0" w:name="_Toc419708991"/>
      <w:bookmarkStart w:id="1" w:name="_Toc444242310"/>
      <w:r>
        <w:rPr>
          <w:rFonts w:ascii="Arial" w:hAnsi="Arial"/>
          <w:sz w:val="40"/>
          <w:szCs w:val="40"/>
        </w:rPr>
        <w:t xml:space="preserve">ANEXO </w:t>
      </w:r>
      <w:r w:rsidR="008E1A5E">
        <w:rPr>
          <w:rFonts w:ascii="Arial" w:hAnsi="Arial"/>
          <w:sz w:val="40"/>
          <w:szCs w:val="40"/>
        </w:rPr>
        <w:t>2</w:t>
      </w:r>
    </w:p>
    <w:p w:rsidR="00FD2BE4" w:rsidRDefault="00FD2BE4" w:rsidP="00FD2BE4">
      <w:pPr>
        <w:pStyle w:val="Portadaarriba"/>
        <w:spacing w:before="0" w:after="0"/>
        <w:rPr>
          <w:rFonts w:ascii="Arial" w:hAnsi="Arial"/>
          <w:sz w:val="40"/>
          <w:szCs w:val="40"/>
        </w:rPr>
      </w:pPr>
    </w:p>
    <w:p w:rsidR="00FD2BE4" w:rsidRPr="005662BC" w:rsidRDefault="00C2742D" w:rsidP="00FD2BE4">
      <w:pPr>
        <w:pStyle w:val="Portadaarriba"/>
        <w:spacing w:before="0"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Calidad de la información y Disponibilidad de la telemetría y del servicio de voz</w:t>
      </w:r>
    </w:p>
    <w:p w:rsidR="00FD2BE4" w:rsidRDefault="00FD2BE4" w:rsidP="00FD2BE4">
      <w:pPr>
        <w:rPr>
          <w:rStyle w:val="body0020text0020first0020indentchar"/>
        </w:rPr>
      </w:pPr>
    </w:p>
    <w:p w:rsidR="00AB1068" w:rsidRPr="00AB663F" w:rsidRDefault="00AB1068" w:rsidP="00AB663F">
      <w:pPr>
        <w:pStyle w:val="Prrafodelista"/>
        <w:numPr>
          <w:ilvl w:val="0"/>
          <w:numId w:val="23"/>
        </w:numPr>
        <w:spacing w:before="360"/>
        <w:ind w:left="357" w:hanging="357"/>
        <w:contextualSpacing w:val="0"/>
        <w:rPr>
          <w:rStyle w:val="body0020text0020first0020indentchar"/>
          <w:rFonts w:ascii="Arial" w:hAnsi="Arial" w:cs="Arial"/>
          <w:b/>
          <w:sz w:val="20"/>
          <w:szCs w:val="20"/>
        </w:rPr>
      </w:pPr>
      <w:bookmarkStart w:id="2" w:name="_Toc474526653"/>
      <w:r w:rsidRPr="00AB663F">
        <w:rPr>
          <w:rStyle w:val="body0020text0020first0020indentchar"/>
          <w:rFonts w:ascii="Arial" w:hAnsi="Arial" w:cs="Arial"/>
          <w:b/>
          <w:sz w:val="20"/>
          <w:szCs w:val="20"/>
        </w:rPr>
        <w:t>Introducción</w:t>
      </w:r>
      <w:bookmarkEnd w:id="0"/>
      <w:bookmarkEnd w:id="1"/>
      <w:bookmarkEnd w:id="2"/>
    </w:p>
    <w:p w:rsidR="00AB1068" w:rsidRPr="00AB663F" w:rsidRDefault="00AB1068" w:rsidP="00AB663F">
      <w:pPr>
        <w:pStyle w:val="Prrafodelista"/>
        <w:numPr>
          <w:ilvl w:val="1"/>
          <w:numId w:val="23"/>
        </w:numPr>
        <w:contextualSpacing w:val="0"/>
        <w:rPr>
          <w:rStyle w:val="body0020text0020first0020indentchar"/>
          <w:rFonts w:ascii="Arial" w:hAnsi="Arial" w:cs="Arial"/>
          <w:sz w:val="20"/>
          <w:szCs w:val="20"/>
        </w:rPr>
      </w:pP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En el presente </w:t>
      </w:r>
      <w:r w:rsidR="00063203" w:rsidRPr="00AB663F">
        <w:rPr>
          <w:rStyle w:val="body0020text0020first0020indentchar"/>
          <w:rFonts w:ascii="Arial" w:hAnsi="Arial" w:cs="Arial"/>
          <w:sz w:val="20"/>
          <w:szCs w:val="20"/>
        </w:rPr>
        <w:t>anexo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se establecen </w:t>
      </w:r>
      <w:r w:rsidR="004837E0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requisitos de calidad </w:t>
      </w:r>
      <w:r w:rsidR="00301D7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de la información </w:t>
      </w:r>
      <w:r w:rsidR="004837E0" w:rsidRPr="00AB663F">
        <w:rPr>
          <w:rStyle w:val="body0020text0020first0020indentchar"/>
          <w:rFonts w:ascii="Arial" w:hAnsi="Arial" w:cs="Arial"/>
          <w:sz w:val="20"/>
          <w:szCs w:val="20"/>
        </w:rPr>
        <w:t>que deben cumplir el</w:t>
      </w:r>
      <w:r w:rsidR="00523AF0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Transportista, Distribuidor, Central Eléctrica o Centro de Carga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con la finalidad de c</w:t>
      </w:r>
      <w:r w:rsidR="00EF2760" w:rsidRPr="00AB663F">
        <w:rPr>
          <w:rStyle w:val="body0020text0020first0020indentchar"/>
          <w:rFonts w:ascii="Arial" w:hAnsi="Arial" w:cs="Arial"/>
          <w:sz w:val="20"/>
          <w:szCs w:val="20"/>
        </w:rPr>
        <w:t>ontribuir a la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confiabilidad del </w:t>
      </w:r>
      <w:r w:rsidR="00EF2760" w:rsidRPr="00AB663F">
        <w:rPr>
          <w:rStyle w:val="body0020text0020first0020indentchar"/>
          <w:rFonts w:ascii="Arial" w:hAnsi="Arial" w:cs="Arial"/>
          <w:sz w:val="20"/>
          <w:szCs w:val="20"/>
        </w:rPr>
        <w:t>SEN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.</w:t>
      </w:r>
    </w:p>
    <w:p w:rsidR="002127FF" w:rsidRPr="00AB663F" w:rsidRDefault="002127FF" w:rsidP="00AB663F">
      <w:pPr>
        <w:pStyle w:val="Prrafodelista"/>
        <w:numPr>
          <w:ilvl w:val="1"/>
          <w:numId w:val="23"/>
        </w:numPr>
        <w:contextualSpacing w:val="0"/>
        <w:rPr>
          <w:rStyle w:val="body0020text0020first0020indentchar"/>
          <w:rFonts w:ascii="Arial" w:hAnsi="Arial" w:cs="Arial"/>
          <w:sz w:val="20"/>
          <w:szCs w:val="20"/>
        </w:rPr>
      </w:pPr>
      <w:r w:rsidRPr="00AB663F">
        <w:rPr>
          <w:rStyle w:val="body0020text0020first0020indentchar"/>
          <w:rFonts w:ascii="Arial" w:hAnsi="Arial" w:cs="Arial"/>
          <w:sz w:val="20"/>
          <w:szCs w:val="20"/>
        </w:rPr>
        <w:t>Para efectos del presente anexo, se consideran las definiciones del</w:t>
      </w:r>
      <w:r w:rsidR="00785A12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numeral 1.4 del Manual.</w:t>
      </w:r>
    </w:p>
    <w:p w:rsidR="0092654D" w:rsidRPr="00AB663F" w:rsidRDefault="0045258D" w:rsidP="00AB663F">
      <w:pPr>
        <w:pStyle w:val="Prrafodelista"/>
        <w:numPr>
          <w:ilvl w:val="0"/>
          <w:numId w:val="23"/>
        </w:numPr>
        <w:spacing w:before="360"/>
        <w:ind w:left="357" w:hanging="357"/>
        <w:contextualSpacing w:val="0"/>
        <w:rPr>
          <w:rStyle w:val="body0020text0020first0020indentchar"/>
          <w:rFonts w:ascii="Arial" w:hAnsi="Arial" w:cs="Arial"/>
          <w:b/>
          <w:sz w:val="20"/>
          <w:szCs w:val="20"/>
        </w:rPr>
      </w:pPr>
      <w:bookmarkStart w:id="3" w:name="_Toc474526654"/>
      <w:bookmarkStart w:id="4" w:name="_Toc419708997"/>
      <w:bookmarkStart w:id="5" w:name="_Toc444242312"/>
      <w:r w:rsidRPr="00AB663F">
        <w:rPr>
          <w:rStyle w:val="body0020text0020first0020indentchar"/>
          <w:rFonts w:ascii="Arial" w:hAnsi="Arial" w:cs="Arial"/>
          <w:b/>
          <w:sz w:val="20"/>
          <w:szCs w:val="20"/>
        </w:rPr>
        <w:t>Requisitos</w:t>
      </w:r>
      <w:r w:rsidR="002A5D64" w:rsidRPr="00AB663F">
        <w:rPr>
          <w:rStyle w:val="body0020text0020first0020indentchar"/>
          <w:rFonts w:ascii="Arial" w:hAnsi="Arial" w:cs="Arial"/>
          <w:b/>
          <w:sz w:val="20"/>
          <w:szCs w:val="20"/>
        </w:rPr>
        <w:t xml:space="preserve"> de Calidad de la Información</w:t>
      </w:r>
      <w:bookmarkEnd w:id="3"/>
    </w:p>
    <w:p w:rsidR="0092654D" w:rsidRPr="00AB663F" w:rsidRDefault="0092654D" w:rsidP="00AB663F">
      <w:pPr>
        <w:pStyle w:val="Prrafodelista"/>
        <w:numPr>
          <w:ilvl w:val="1"/>
          <w:numId w:val="23"/>
        </w:numPr>
        <w:contextualSpacing w:val="0"/>
        <w:rPr>
          <w:rStyle w:val="body0020text0020first0020indentchar"/>
          <w:rFonts w:ascii="Arial" w:hAnsi="Arial" w:cs="Arial"/>
          <w:sz w:val="20"/>
          <w:szCs w:val="20"/>
        </w:rPr>
      </w:pPr>
      <w:bookmarkStart w:id="6" w:name="_Toc419708992"/>
      <w:bookmarkStart w:id="7" w:name="_Toc444242311"/>
      <w:r w:rsidRPr="00AB663F">
        <w:rPr>
          <w:rStyle w:val="body0020text0020first0020indentchar"/>
          <w:rFonts w:ascii="Arial" w:hAnsi="Arial" w:cs="Arial"/>
          <w:sz w:val="20"/>
          <w:szCs w:val="20"/>
        </w:rPr>
        <w:t>En lo referente a las mediciones de energía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para liquidaciones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, el </w:t>
      </w:r>
      <w:r w:rsidR="00354764" w:rsidRPr="00AB663F">
        <w:rPr>
          <w:rStyle w:val="body0020text0020first0020indentchar"/>
          <w:rFonts w:ascii="Arial" w:hAnsi="Arial" w:cs="Arial"/>
          <w:sz w:val="20"/>
          <w:szCs w:val="20"/>
        </w:rPr>
        <w:t>M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edidor </w:t>
      </w:r>
      <w:r w:rsidR="00354764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Multifunción para Liquidaciones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debe ser capaz de medir la energía activa (</w:t>
      </w:r>
      <w:proofErr w:type="spellStart"/>
      <w:r w:rsidRPr="00AB663F">
        <w:rPr>
          <w:rStyle w:val="body0020text0020first0020indentchar"/>
          <w:rFonts w:ascii="Arial" w:hAnsi="Arial" w:cs="Arial"/>
          <w:sz w:val="20"/>
          <w:szCs w:val="20"/>
        </w:rPr>
        <w:t>KWh</w:t>
      </w:r>
      <w:proofErr w:type="spellEnd"/>
      <w:r w:rsidRPr="00AB663F">
        <w:rPr>
          <w:rStyle w:val="body0020text0020first0020indentchar"/>
          <w:rFonts w:ascii="Arial" w:hAnsi="Arial" w:cs="Arial"/>
          <w:sz w:val="20"/>
          <w:szCs w:val="20"/>
        </w:rPr>
        <w:t>) y reactiva (</w:t>
      </w:r>
      <w:proofErr w:type="spellStart"/>
      <w:r w:rsidRPr="00AB663F">
        <w:rPr>
          <w:rStyle w:val="body0020text0020first0020indentchar"/>
          <w:rFonts w:ascii="Arial" w:hAnsi="Arial" w:cs="Arial"/>
          <w:sz w:val="20"/>
          <w:szCs w:val="20"/>
        </w:rPr>
        <w:t>KVarh</w:t>
      </w:r>
      <w:proofErr w:type="spellEnd"/>
      <w:r w:rsidRPr="00AB663F">
        <w:rPr>
          <w:rStyle w:val="body0020text0020first0020indentchar"/>
          <w:rFonts w:ascii="Arial" w:hAnsi="Arial" w:cs="Arial"/>
          <w:sz w:val="20"/>
          <w:szCs w:val="20"/>
        </w:rPr>
        <w:t>)</w:t>
      </w:r>
      <w:r w:rsidR="00354764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de conformidad con lo establecido en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</w:t>
      </w:r>
      <w:r w:rsidR="00E43DC6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las normas oficiales </w:t>
      </w:r>
      <w:r w:rsidR="00785A12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mexicanas </w:t>
      </w:r>
      <w:r w:rsidR="00354764" w:rsidRPr="00AB663F">
        <w:rPr>
          <w:rStyle w:val="body0020text0020first0020indentchar"/>
          <w:rFonts w:ascii="Arial" w:hAnsi="Arial" w:cs="Arial"/>
          <w:sz w:val="20"/>
          <w:szCs w:val="20"/>
        </w:rPr>
        <w:t>aplicables a los sistemas de medición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.</w:t>
      </w:r>
    </w:p>
    <w:p w:rsidR="0092654D" w:rsidRPr="00AB663F" w:rsidRDefault="0092654D" w:rsidP="00AB663F">
      <w:pPr>
        <w:pStyle w:val="Prrafodelista"/>
        <w:numPr>
          <w:ilvl w:val="1"/>
          <w:numId w:val="23"/>
        </w:numPr>
        <w:contextualSpacing w:val="0"/>
        <w:rPr>
          <w:rStyle w:val="body0020text0020first0020indentchar"/>
          <w:rFonts w:ascii="Arial" w:hAnsi="Arial" w:cs="Arial"/>
          <w:sz w:val="20"/>
          <w:szCs w:val="20"/>
        </w:rPr>
      </w:pPr>
      <w:bookmarkStart w:id="8" w:name="_Toc455582062"/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En lo referente al 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>C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ontrol 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>O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perativo</w:t>
      </w:r>
      <w:bookmarkEnd w:id="8"/>
      <w:r w:rsidRPr="00AB663F">
        <w:rPr>
          <w:rStyle w:val="body0020text0020first0020indentchar"/>
          <w:rFonts w:ascii="Arial" w:hAnsi="Arial" w:cs="Arial"/>
          <w:sz w:val="20"/>
          <w:szCs w:val="20"/>
        </w:rPr>
        <w:t>, conforme al Código de Red</w:t>
      </w:r>
      <w:r w:rsidR="004D1463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2016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, para asegurar la calidad de la información deben c</w:t>
      </w:r>
      <w:r w:rsidR="0045258D" w:rsidRPr="00AB663F">
        <w:rPr>
          <w:rStyle w:val="body0020text0020first0020indentchar"/>
          <w:rFonts w:ascii="Arial" w:hAnsi="Arial" w:cs="Arial"/>
          <w:sz w:val="20"/>
          <w:szCs w:val="20"/>
        </w:rPr>
        <w:t>umplirse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los siguientes requisitos:</w:t>
      </w:r>
    </w:p>
    <w:p w:rsidR="00083A4A" w:rsidRDefault="00083A4A" w:rsidP="00083A4A">
      <w:pPr>
        <w:pStyle w:val="Inciso"/>
        <w:numPr>
          <w:ilvl w:val="3"/>
          <w:numId w:val="1"/>
        </w:numPr>
      </w:pPr>
      <w:r>
        <w:t>Sincronía de Tiempo</w:t>
      </w:r>
    </w:p>
    <w:p w:rsidR="00083A4A" w:rsidRPr="0092654D" w:rsidRDefault="00083A4A" w:rsidP="00ED6B77">
      <w:pPr>
        <w:pStyle w:val="Subinciso"/>
        <w:numPr>
          <w:ilvl w:val="0"/>
          <w:numId w:val="0"/>
        </w:numPr>
        <w:ind w:left="1418"/>
      </w:pPr>
      <w:r>
        <w:t xml:space="preserve">Todos los equipos bajo responsabilidad del Transportista, Distribuidor, Central Eléctrica o Centro de Carga que envíen información </w:t>
      </w:r>
      <w:r w:rsidR="005238F5">
        <w:t xml:space="preserve">hacia el CENACE relacionada con el </w:t>
      </w:r>
      <w:r>
        <w:t>M</w:t>
      </w:r>
      <w:r w:rsidR="005238F5">
        <w:t>EM</w:t>
      </w:r>
      <w:r>
        <w:t xml:space="preserve"> o </w:t>
      </w:r>
      <w:r w:rsidR="005238F5">
        <w:t xml:space="preserve">con el </w:t>
      </w:r>
      <w:r>
        <w:t xml:space="preserve">Control Operativo deberán cumplir con </w:t>
      </w:r>
      <w:r w:rsidR="00ED6B77">
        <w:t>lo señalado en el anexo A del Manual.</w:t>
      </w:r>
      <w:r w:rsidR="00ED6B77" w:rsidRPr="0092654D">
        <w:t xml:space="preserve"> </w:t>
      </w:r>
    </w:p>
    <w:p w:rsidR="0092654D" w:rsidRDefault="0092654D" w:rsidP="0092654D">
      <w:pPr>
        <w:pStyle w:val="Inciso"/>
        <w:numPr>
          <w:ilvl w:val="3"/>
          <w:numId w:val="1"/>
        </w:numPr>
      </w:pPr>
      <w:r>
        <w:t xml:space="preserve">Visibilidad de la </w:t>
      </w:r>
      <w:r w:rsidR="00AB08F4">
        <w:t>T</w:t>
      </w:r>
      <w:r>
        <w:t>elemetría</w:t>
      </w:r>
    </w:p>
    <w:p w:rsidR="0092654D" w:rsidRDefault="000714B7" w:rsidP="0092654D">
      <w:pPr>
        <w:pStyle w:val="Inciso"/>
        <w:numPr>
          <w:ilvl w:val="3"/>
          <w:numId w:val="1"/>
        </w:numPr>
      </w:pPr>
      <w:r>
        <w:t xml:space="preserve">El Transportista, Distribuidor, Central Eléctrica o Centro de Carga debe mantener </w:t>
      </w:r>
      <w:r w:rsidR="00E9141E">
        <w:t xml:space="preserve">disponible </w:t>
      </w:r>
      <w:r>
        <w:t>la información requerida por el CENACE</w:t>
      </w:r>
      <w:r w:rsidR="005238F5">
        <w:t>,</w:t>
      </w:r>
      <w:r w:rsidR="004837E0">
        <w:t xml:space="preserve"> conforme a lo </w:t>
      </w:r>
      <w:r w:rsidR="009B1600">
        <w:t xml:space="preserve">indicado en el numeral </w:t>
      </w:r>
      <w:r w:rsidR="00656A43">
        <w:t>5</w:t>
      </w:r>
      <w:r w:rsidR="009B1600">
        <w:t>.3.1 de</w:t>
      </w:r>
      <w:r w:rsidR="008A4C78">
        <w:t xml:space="preserve">l </w:t>
      </w:r>
      <w:r w:rsidR="00656A43">
        <w:t>Criterio REI 7</w:t>
      </w:r>
      <w:r w:rsidR="0092654D">
        <w:t>Supervisión del desempeño (garantizar exactitud, validez y precisión)</w:t>
      </w:r>
    </w:p>
    <w:p w:rsidR="0092654D" w:rsidRDefault="0092654D" w:rsidP="0092654D">
      <w:pPr>
        <w:pStyle w:val="Subinciso"/>
        <w:numPr>
          <w:ilvl w:val="4"/>
          <w:numId w:val="2"/>
        </w:numPr>
      </w:pPr>
      <w:r>
        <w:t xml:space="preserve">Toda la información debe cumplir con las pruebas de aceptación que le correspondan durante la Puesta en Servicio del </w:t>
      </w:r>
      <w:r w:rsidR="005238F5">
        <w:t>a</w:t>
      </w:r>
      <w:r>
        <w:t xml:space="preserve">nexo </w:t>
      </w:r>
      <w:r w:rsidRPr="0092654D">
        <w:t xml:space="preserve">5 </w:t>
      </w:r>
      <w:r w:rsidR="005238F5">
        <w:t>“</w:t>
      </w:r>
      <w:r w:rsidRPr="0092654D">
        <w:t>Procedimiento de Puesta en Servicio de TIC</w:t>
      </w:r>
      <w:r w:rsidR="005238F5">
        <w:t>”</w:t>
      </w:r>
      <w:r w:rsidR="00A8270A">
        <w:t>.</w:t>
      </w:r>
    </w:p>
    <w:p w:rsidR="000C310E" w:rsidRDefault="0092654D" w:rsidP="000714B7">
      <w:pPr>
        <w:pStyle w:val="Subinciso"/>
        <w:numPr>
          <w:ilvl w:val="4"/>
          <w:numId w:val="1"/>
        </w:numPr>
      </w:pPr>
      <w:r>
        <w:t xml:space="preserve">Las mediciones analógicas deben cumplir con los criterios de exactitud definidos en </w:t>
      </w:r>
      <w:r w:rsidR="0056312E">
        <w:t xml:space="preserve">el </w:t>
      </w:r>
      <w:r w:rsidR="00B56F91">
        <w:t>c</w:t>
      </w:r>
      <w:r>
        <w:t>riterio REI – 10 del Código de Red</w:t>
      </w:r>
      <w:r w:rsidR="0056312E">
        <w:t xml:space="preserve"> 2016</w:t>
      </w:r>
      <w:r>
        <w:t>.</w:t>
      </w:r>
    </w:p>
    <w:p w:rsidR="002A5D64" w:rsidRDefault="002A5D64" w:rsidP="000714B7">
      <w:pPr>
        <w:pStyle w:val="Subinciso"/>
        <w:numPr>
          <w:ilvl w:val="4"/>
          <w:numId w:val="1"/>
        </w:numPr>
      </w:pPr>
      <w:r>
        <w:t xml:space="preserve">Las mediciones analógicas, </w:t>
      </w:r>
      <w:r w:rsidRPr="00355DC6">
        <w:t>indicaciones de estados</w:t>
      </w:r>
      <w:r>
        <w:t xml:space="preserve"> o acumuladores deben reflejar siempre los cambios ocurridos en campo en tiempo y forma actualizando la información acorde a las configuraciones de periodicidad de </w:t>
      </w:r>
      <w:r>
        <w:lastRenderedPageBreak/>
        <w:t>pregunta con base en lo que establezca</w:t>
      </w:r>
      <w:r w:rsidR="005238F5">
        <w:t>n las guías operativas y procedimientos</w:t>
      </w:r>
      <w:r>
        <w:t xml:space="preserve"> para </w:t>
      </w:r>
      <w:r w:rsidR="005238F5">
        <w:t xml:space="preserve">definir </w:t>
      </w:r>
      <w:r>
        <w:t>la implementación de protocolos de TIC requeridos por el CENACE.</w:t>
      </w:r>
    </w:p>
    <w:p w:rsidR="0092654D" w:rsidRDefault="0092654D" w:rsidP="0092654D">
      <w:pPr>
        <w:pStyle w:val="Inciso"/>
        <w:numPr>
          <w:ilvl w:val="3"/>
          <w:numId w:val="1"/>
        </w:numPr>
      </w:pPr>
      <w:r>
        <w:t xml:space="preserve">Rapidez de </w:t>
      </w:r>
      <w:r w:rsidR="00AB08F4">
        <w:t>T</w:t>
      </w:r>
      <w:r>
        <w:t>elemetría directa</w:t>
      </w:r>
    </w:p>
    <w:p w:rsidR="000714B7" w:rsidRDefault="0092654D" w:rsidP="00FA374B">
      <w:pPr>
        <w:pStyle w:val="Subinciso"/>
        <w:numPr>
          <w:ilvl w:val="4"/>
          <w:numId w:val="1"/>
        </w:numPr>
      </w:pPr>
      <w:r>
        <w:t>L</w:t>
      </w:r>
      <w:r w:rsidRPr="00355DC6">
        <w:t xml:space="preserve">as indicaciones de estados deben cumplir </w:t>
      </w:r>
      <w:r>
        <w:t>con</w:t>
      </w:r>
      <w:r w:rsidRPr="00355DC6">
        <w:t xml:space="preserve"> </w:t>
      </w:r>
      <w:r>
        <w:t>el c</w:t>
      </w:r>
      <w:r w:rsidRPr="00355DC6">
        <w:t>riterio de aceptación</w:t>
      </w:r>
      <w:r>
        <w:t xml:space="preserve"> relacionad</w:t>
      </w:r>
      <w:r w:rsidR="005238F5">
        <w:t>o</w:t>
      </w:r>
      <w:r>
        <w:t xml:space="preserve"> con la rapidez de indicaciones</w:t>
      </w:r>
      <w:r w:rsidR="000714B7">
        <w:t xml:space="preserve"> </w:t>
      </w:r>
      <w:r>
        <w:t xml:space="preserve">en un tiempo menor o igual a </w:t>
      </w:r>
      <w:r w:rsidR="00A8270A">
        <w:t>dos</w:t>
      </w:r>
      <w:r>
        <w:t xml:space="preserve"> segundos.</w:t>
      </w:r>
      <w:r w:rsidR="000714B7">
        <w:t xml:space="preserve"> Para el cálculo de la rapidez de indicaciones de estados se considera la diferencia de tiempo </w:t>
      </w:r>
      <w:r w:rsidR="00A8270A">
        <w:t>desde</w:t>
      </w:r>
      <w:r w:rsidR="000714B7">
        <w:t xml:space="preserve"> el registro de la estampa de tiempo del evento en el equipo fuente hasta el registro del evento por la UTM en el CENACE.</w:t>
      </w:r>
    </w:p>
    <w:p w:rsidR="0092654D" w:rsidRDefault="0092654D" w:rsidP="00FA374B">
      <w:pPr>
        <w:pStyle w:val="Subinciso"/>
        <w:numPr>
          <w:ilvl w:val="4"/>
          <w:numId w:val="1"/>
        </w:numPr>
      </w:pPr>
      <w:r>
        <w:t>Los controles</w:t>
      </w:r>
      <w:r w:rsidRPr="00355DC6">
        <w:t xml:space="preserve"> deben cumplir </w:t>
      </w:r>
      <w:r>
        <w:t>con</w:t>
      </w:r>
      <w:r w:rsidRPr="00355DC6">
        <w:t xml:space="preserve"> </w:t>
      </w:r>
      <w:r>
        <w:t>el c</w:t>
      </w:r>
      <w:r w:rsidRPr="00355DC6">
        <w:t>riterio de aceptación</w:t>
      </w:r>
      <w:r>
        <w:t xml:space="preserve"> relacionad</w:t>
      </w:r>
      <w:r w:rsidR="005238F5">
        <w:t>o</w:t>
      </w:r>
      <w:r>
        <w:t xml:space="preserve"> con la rapidez de controles</w:t>
      </w:r>
      <w:r w:rsidR="000714B7">
        <w:t xml:space="preserve"> </w:t>
      </w:r>
      <w:r>
        <w:t xml:space="preserve">en un tiempo menor o igual a </w:t>
      </w:r>
      <w:r w:rsidR="00A8270A">
        <w:t>tres</w:t>
      </w:r>
      <w:r>
        <w:t xml:space="preserve"> segundos.</w:t>
      </w:r>
      <w:r w:rsidR="000714B7">
        <w:t xml:space="preserve"> Para el cálculo de la rapidez de controles se considera la diferencia de tiempo </w:t>
      </w:r>
      <w:r w:rsidR="00A8270A">
        <w:t>desde</w:t>
      </w:r>
      <w:r w:rsidR="000714B7">
        <w:t xml:space="preserve"> el registro de la solicitud del control del CENACE en su UTM hasta el registro de la recepción de la confirmación de la ejecución del control en la UTM del CENACE.</w:t>
      </w:r>
    </w:p>
    <w:p w:rsidR="0092654D" w:rsidRDefault="0092654D" w:rsidP="0092654D">
      <w:pPr>
        <w:pStyle w:val="Subinciso"/>
        <w:numPr>
          <w:ilvl w:val="4"/>
          <w:numId w:val="1"/>
        </w:numPr>
      </w:pPr>
      <w:r>
        <w:t>L</w:t>
      </w:r>
      <w:r w:rsidRPr="00355DC6">
        <w:t xml:space="preserve">as </w:t>
      </w:r>
      <w:r>
        <w:t>mediciones analógicas</w:t>
      </w:r>
      <w:r w:rsidRPr="00355DC6">
        <w:t xml:space="preserve"> deben cumplir </w:t>
      </w:r>
      <w:r>
        <w:t>con</w:t>
      </w:r>
      <w:r w:rsidRPr="00355DC6">
        <w:t xml:space="preserve"> </w:t>
      </w:r>
      <w:r>
        <w:t>el c</w:t>
      </w:r>
      <w:r w:rsidRPr="00355DC6">
        <w:t>riterio de aceptación</w:t>
      </w:r>
      <w:r>
        <w:t xml:space="preserve"> relacionad</w:t>
      </w:r>
      <w:r w:rsidR="005238F5">
        <w:t>o</w:t>
      </w:r>
      <w:r>
        <w:t xml:space="preserve"> con la rapidez de mediciones</w:t>
      </w:r>
      <w:r w:rsidR="005C0894">
        <w:t xml:space="preserve"> </w:t>
      </w:r>
      <w:r>
        <w:t xml:space="preserve">en un tiempo menor o igual a </w:t>
      </w:r>
      <w:r w:rsidR="00A8270A">
        <w:t>dos</w:t>
      </w:r>
      <w:r>
        <w:t xml:space="preserve"> segundos.</w:t>
      </w:r>
    </w:p>
    <w:p w:rsidR="00660D28" w:rsidRDefault="00660D28" w:rsidP="00660D28">
      <w:pPr>
        <w:pStyle w:val="Subinciso"/>
        <w:numPr>
          <w:ilvl w:val="0"/>
          <w:numId w:val="0"/>
        </w:numPr>
        <w:ind w:left="1985"/>
      </w:pPr>
    </w:p>
    <w:bookmarkEnd w:id="6"/>
    <w:bookmarkEnd w:id="7"/>
    <w:p w:rsidR="000719E1" w:rsidRPr="00AB663F" w:rsidRDefault="003B73AF" w:rsidP="00AB663F">
      <w:pPr>
        <w:pStyle w:val="Prrafodelista"/>
        <w:numPr>
          <w:ilvl w:val="1"/>
          <w:numId w:val="23"/>
        </w:numPr>
        <w:contextualSpacing w:val="0"/>
        <w:rPr>
          <w:rStyle w:val="body0020text0020first0020indentchar"/>
          <w:rFonts w:ascii="Arial" w:hAnsi="Arial" w:cs="Arial"/>
          <w:sz w:val="20"/>
          <w:szCs w:val="20"/>
        </w:rPr>
      </w:pPr>
      <w:r w:rsidRPr="00AB663F">
        <w:rPr>
          <w:rStyle w:val="body0020text0020first0020indentchar"/>
          <w:rFonts w:ascii="Arial" w:hAnsi="Arial" w:cs="Arial"/>
          <w:sz w:val="20"/>
          <w:szCs w:val="20"/>
        </w:rPr>
        <w:t>El CENACE requiere que los Dispositivos Fuente de</w:t>
      </w:r>
      <w:r w:rsidR="00523AF0" w:rsidRPr="00AB663F">
        <w:rPr>
          <w:rStyle w:val="body0020text0020first0020indentchar"/>
          <w:rFonts w:ascii="Arial" w:hAnsi="Arial" w:cs="Arial"/>
          <w:sz w:val="20"/>
        </w:rPr>
        <w:t xml:space="preserve">l Transportista, </w:t>
      </w:r>
      <w:r w:rsidR="008665AC" w:rsidRPr="00AB663F">
        <w:rPr>
          <w:rStyle w:val="body0020text0020first0020indentchar"/>
          <w:rFonts w:ascii="Arial" w:hAnsi="Arial" w:cs="Arial"/>
          <w:sz w:val="20"/>
        </w:rPr>
        <w:t xml:space="preserve">el </w:t>
      </w:r>
      <w:r w:rsidR="00523AF0" w:rsidRPr="00AB663F">
        <w:rPr>
          <w:rStyle w:val="body0020text0020first0020indentchar"/>
          <w:rFonts w:ascii="Arial" w:hAnsi="Arial" w:cs="Arial"/>
          <w:sz w:val="20"/>
        </w:rPr>
        <w:t xml:space="preserve">Distribuidor, </w:t>
      </w:r>
      <w:r w:rsidR="008665AC" w:rsidRPr="00AB663F">
        <w:rPr>
          <w:rStyle w:val="body0020text0020first0020indentchar"/>
          <w:rFonts w:ascii="Arial" w:hAnsi="Arial" w:cs="Arial"/>
          <w:sz w:val="20"/>
        </w:rPr>
        <w:t xml:space="preserve">la </w:t>
      </w:r>
      <w:r w:rsidR="00523AF0" w:rsidRPr="00AB663F">
        <w:rPr>
          <w:rStyle w:val="body0020text0020first0020indentchar"/>
          <w:rFonts w:ascii="Arial" w:hAnsi="Arial" w:cs="Arial"/>
          <w:sz w:val="20"/>
        </w:rPr>
        <w:t xml:space="preserve">Central Eléctrica o </w:t>
      </w:r>
      <w:r w:rsidR="008665AC" w:rsidRPr="00AB663F">
        <w:rPr>
          <w:rStyle w:val="body0020text0020first0020indentchar"/>
          <w:rFonts w:ascii="Arial" w:hAnsi="Arial" w:cs="Arial"/>
          <w:sz w:val="20"/>
        </w:rPr>
        <w:t xml:space="preserve">el </w:t>
      </w:r>
      <w:r w:rsidR="00523AF0" w:rsidRPr="00AB663F">
        <w:rPr>
          <w:rStyle w:val="body0020text0020first0020indentchar"/>
          <w:rFonts w:ascii="Arial" w:hAnsi="Arial" w:cs="Arial"/>
          <w:sz w:val="20"/>
        </w:rPr>
        <w:t xml:space="preserve">Centro de Carga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sean </w:t>
      </w:r>
      <w:r w:rsidR="00461734" w:rsidRPr="00AB663F">
        <w:rPr>
          <w:rStyle w:val="body0020text0020first0020indentchar"/>
          <w:rFonts w:ascii="Arial" w:hAnsi="Arial" w:cs="Arial"/>
          <w:sz w:val="20"/>
          <w:szCs w:val="20"/>
        </w:rPr>
        <w:t>DE</w:t>
      </w:r>
      <w:r w:rsidR="00C37287" w:rsidRPr="00AB663F">
        <w:rPr>
          <w:rStyle w:val="body0020text0020first0020indentchar"/>
          <w:rFonts w:ascii="Arial" w:hAnsi="Arial" w:cs="Arial"/>
          <w:sz w:val="20"/>
          <w:szCs w:val="20"/>
        </w:rPr>
        <w:t>I</w:t>
      </w:r>
      <w:r w:rsidR="008665AC" w:rsidRPr="00AB663F">
        <w:rPr>
          <w:rStyle w:val="body0020text0020first0020indentchar"/>
          <w:rFonts w:ascii="Arial" w:hAnsi="Arial" w:cs="Arial"/>
          <w:sz w:val="20"/>
          <w:szCs w:val="20"/>
        </w:rPr>
        <w:t>,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para cumplir con los criterios establecidos en </w:t>
      </w:r>
      <w:r w:rsidR="000D5678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el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Código de Red </w:t>
      </w:r>
      <w:r w:rsidR="000D5678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2016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para la supervisión del desempeño y la rapidez de la telemetría directa.</w:t>
      </w:r>
    </w:p>
    <w:p w:rsidR="00D9462F" w:rsidRPr="00AB663F" w:rsidRDefault="00D9462F" w:rsidP="00AB663F">
      <w:pPr>
        <w:pStyle w:val="Prrafodelista"/>
        <w:numPr>
          <w:ilvl w:val="0"/>
          <w:numId w:val="23"/>
        </w:numPr>
        <w:spacing w:before="360"/>
        <w:ind w:left="357" w:hanging="357"/>
        <w:contextualSpacing w:val="0"/>
        <w:rPr>
          <w:rStyle w:val="body0020text0020first0020indentchar"/>
          <w:rFonts w:ascii="Arial" w:hAnsi="Arial" w:cs="Arial"/>
          <w:b/>
          <w:sz w:val="20"/>
          <w:szCs w:val="20"/>
        </w:rPr>
      </w:pPr>
      <w:bookmarkStart w:id="9" w:name="_Toc474526655"/>
      <w:r w:rsidRPr="00AB663F">
        <w:rPr>
          <w:rStyle w:val="body0020text0020first0020indentchar"/>
          <w:rFonts w:ascii="Arial" w:hAnsi="Arial" w:cs="Arial"/>
          <w:b/>
          <w:sz w:val="20"/>
          <w:szCs w:val="20"/>
        </w:rPr>
        <w:t>Disponibilidad</w:t>
      </w:r>
      <w:bookmarkEnd w:id="9"/>
      <w:r w:rsidRPr="00AB663F">
        <w:rPr>
          <w:rStyle w:val="body0020text0020first0020indentchar"/>
          <w:rFonts w:ascii="Arial" w:hAnsi="Arial" w:cs="Arial"/>
          <w:b/>
          <w:sz w:val="20"/>
          <w:szCs w:val="20"/>
        </w:rPr>
        <w:t xml:space="preserve"> </w:t>
      </w:r>
    </w:p>
    <w:p w:rsidR="00D9462F" w:rsidRPr="00AB663F" w:rsidRDefault="00D9462F" w:rsidP="00AB663F">
      <w:pPr>
        <w:pStyle w:val="Prrafodelista"/>
        <w:numPr>
          <w:ilvl w:val="1"/>
          <w:numId w:val="23"/>
        </w:numPr>
        <w:contextualSpacing w:val="0"/>
        <w:rPr>
          <w:rStyle w:val="body0020text0020first0020indentchar"/>
          <w:rFonts w:ascii="Arial" w:hAnsi="Arial" w:cs="Arial"/>
          <w:sz w:val="20"/>
          <w:szCs w:val="20"/>
        </w:rPr>
      </w:pPr>
      <w:r w:rsidRPr="00AB663F">
        <w:rPr>
          <w:rStyle w:val="body0020text0020first0020indentchar"/>
          <w:rFonts w:ascii="Arial" w:hAnsi="Arial" w:cs="Arial"/>
          <w:sz w:val="20"/>
          <w:szCs w:val="20"/>
        </w:rPr>
        <w:t>Disponibilidad de la información</w:t>
      </w:r>
      <w:r w:rsidR="00625573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</w:t>
      </w:r>
      <w:r w:rsidR="00AB08F4" w:rsidRPr="00AB663F">
        <w:rPr>
          <w:rStyle w:val="body0020text0020first0020indentchar"/>
          <w:rFonts w:ascii="Arial" w:hAnsi="Arial" w:cs="Arial"/>
          <w:sz w:val="20"/>
          <w:szCs w:val="20"/>
        </w:rPr>
        <w:t>de T</w:t>
      </w:r>
      <w:r w:rsidR="000D5678" w:rsidRPr="00AB663F">
        <w:rPr>
          <w:rStyle w:val="body0020text0020first0020indentchar"/>
          <w:rFonts w:ascii="Arial" w:hAnsi="Arial" w:cs="Arial"/>
          <w:sz w:val="20"/>
          <w:szCs w:val="20"/>
        </w:rPr>
        <w:t>elemetría</w:t>
      </w:r>
    </w:p>
    <w:p w:rsidR="009B1600" w:rsidRPr="00B57442" w:rsidRDefault="009B1600" w:rsidP="00D55478">
      <w:pPr>
        <w:pStyle w:val="Inciso"/>
        <w:numPr>
          <w:ilvl w:val="3"/>
          <w:numId w:val="24"/>
        </w:numPr>
      </w:pPr>
      <w:r w:rsidRPr="00B57442">
        <w:t xml:space="preserve">La disponibilidad </w:t>
      </w:r>
      <w:r w:rsidR="00625573">
        <w:t xml:space="preserve">de la información </w:t>
      </w:r>
      <w:r w:rsidR="000D5678">
        <w:t xml:space="preserve">de </w:t>
      </w:r>
      <w:r w:rsidR="005F6030">
        <w:t>T</w:t>
      </w:r>
      <w:r w:rsidR="000D5678">
        <w:t xml:space="preserve">elemetría </w:t>
      </w:r>
      <w:r w:rsidRPr="00B57442">
        <w:t xml:space="preserve">se calcula </w:t>
      </w:r>
      <w:r w:rsidR="00625573">
        <w:t xml:space="preserve">a partir de </w:t>
      </w:r>
      <w:r w:rsidRPr="00B57442">
        <w:t xml:space="preserve">los reportes de </w:t>
      </w:r>
      <w:r w:rsidR="00625573">
        <w:t>F</w:t>
      </w:r>
      <w:r w:rsidRPr="00B57442">
        <w:t xml:space="preserve">allas derivados del anexo 7 </w:t>
      </w:r>
      <w:r w:rsidR="00625573">
        <w:t>“</w:t>
      </w:r>
      <w:r w:rsidRPr="00B57442">
        <w:t>Procedimiento Operativo para la Atención de Fallas en los sistemas de TIC</w:t>
      </w:r>
      <w:r w:rsidR="00625573">
        <w:t>”</w:t>
      </w:r>
      <w:r w:rsidRPr="00B57442">
        <w:t>,</w:t>
      </w:r>
      <w:r w:rsidR="0013785C">
        <w:t xml:space="preserve"> </w:t>
      </w:r>
      <w:r w:rsidR="00FA1865" w:rsidRPr="00B57442">
        <w:t xml:space="preserve">para </w:t>
      </w:r>
      <w:r w:rsidR="00FA1865">
        <w:t xml:space="preserve">la </w:t>
      </w:r>
      <w:r w:rsidR="00ED6B77">
        <w:t>I</w:t>
      </w:r>
      <w:r w:rsidR="00FA1865">
        <w:t xml:space="preserve">nfraestructura de TIC con que cuenta </w:t>
      </w:r>
      <w:r w:rsidR="00FA1865" w:rsidRPr="00B57442">
        <w:t xml:space="preserve">el Transportista, Distribuidor, Central Eléctrica </w:t>
      </w:r>
      <w:r w:rsidR="00FA1865">
        <w:t>o</w:t>
      </w:r>
      <w:r w:rsidR="00FA1865" w:rsidRPr="00B57442">
        <w:t xml:space="preserve"> Centro de Carga</w:t>
      </w:r>
      <w:r w:rsidR="00FA1865">
        <w:t xml:space="preserve">, </w:t>
      </w:r>
      <w:r w:rsidR="0013785C">
        <w:t xml:space="preserve">según </w:t>
      </w:r>
      <w:r w:rsidR="00FA1865">
        <w:t>su</w:t>
      </w:r>
      <w:r w:rsidR="0013785C">
        <w:t xml:space="preserve"> </w:t>
      </w:r>
      <w:r w:rsidR="0013785C" w:rsidRPr="00B57442">
        <w:t>prioridad (Crítica, Alta, Media y Baja)</w:t>
      </w:r>
      <w:r w:rsidR="0013785C">
        <w:t>,</w:t>
      </w:r>
      <w:r w:rsidR="0013785C" w:rsidRPr="00B57442">
        <w:t xml:space="preserve"> </w:t>
      </w:r>
      <w:r w:rsidRPr="00B57442">
        <w:t xml:space="preserve">de acuerdo </w:t>
      </w:r>
      <w:r w:rsidR="005F6030">
        <w:t>con</w:t>
      </w:r>
      <w:r w:rsidRPr="00B57442">
        <w:t xml:space="preserve"> la siguiente fórmula:</w:t>
      </w:r>
    </w:p>
    <w:p w:rsidR="009B1600" w:rsidRPr="00093B93" w:rsidRDefault="00257EAB" w:rsidP="009B1600">
      <w:pPr>
        <w:pStyle w:val="Subinciso"/>
        <w:numPr>
          <w:ilvl w:val="0"/>
          <w:numId w:val="0"/>
        </w:numPr>
        <w:ind w:left="1418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PDI</m:t>
              </m:r>
            </m:e>
            <m:sub>
              <m:r>
                <w:rPr>
                  <w:rFonts w:ascii="Cambria Math" w:hAnsi="Cambria Math"/>
                </w:rPr>
                <m:t>ip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=100-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Puntos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</w:rPr>
                            <m:t>Fallados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ip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Duraci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ó</m:t>
                          </m:r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</w:rPr>
                            <m:t>de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</w:rPr>
                            <m:t>la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</w:rPr>
                            <m:t>Falla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ip</m:t>
                          </m:r>
                        </m:sub>
                      </m:sSub>
                    </m:e>
                  </m:nary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Total de Puntos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*</m:t>
                  </m:r>
                  <m:r>
                    <w:rPr>
                      <w:rFonts w:ascii="Cambria Math" w:hAnsi="Cambria Math"/>
                    </w:rPr>
                    <m:t>Per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í</m:t>
                  </m:r>
                  <m:r>
                    <w:rPr>
                      <w:rFonts w:ascii="Cambria Math" w:hAnsi="Cambria Math"/>
                    </w:rPr>
                    <m:t>odo de Evaluación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*100</m:t>
              </m:r>
            </m:e>
          </m:d>
        </m:oMath>
      </m:oMathPara>
    </w:p>
    <w:p w:rsidR="008665AC" w:rsidRDefault="008665AC" w:rsidP="0013785C">
      <w:pPr>
        <w:pStyle w:val="Apartado"/>
        <w:numPr>
          <w:ilvl w:val="0"/>
          <w:numId w:val="0"/>
        </w:numPr>
        <w:ind w:left="1560"/>
      </w:pPr>
      <w:r>
        <w:t>Donde</w:t>
      </w:r>
    </w:p>
    <w:p w:rsidR="009B1600" w:rsidRDefault="009B1600" w:rsidP="0013785C">
      <w:pPr>
        <w:pStyle w:val="Subinciso"/>
        <w:ind w:left="2268"/>
      </w:pPr>
      <w:proofErr w:type="spellStart"/>
      <w:r w:rsidRPr="0013785C">
        <w:rPr>
          <w:i/>
        </w:rPr>
        <w:t>PDI</w:t>
      </w:r>
      <w:r w:rsidR="0013785C" w:rsidRPr="0013785C">
        <w:rPr>
          <w:i/>
          <w:vertAlign w:val="subscript"/>
        </w:rPr>
        <w:t>i</w:t>
      </w:r>
      <w:r w:rsidR="00093B93" w:rsidRPr="0013785C">
        <w:rPr>
          <w:i/>
          <w:vertAlign w:val="subscript"/>
        </w:rPr>
        <w:t>p</w:t>
      </w:r>
      <w:proofErr w:type="spellEnd"/>
      <w:r w:rsidRPr="00B57442">
        <w:t>: Porcentaje de Disponibilidad de la Información</w:t>
      </w:r>
      <w:r w:rsidR="0013785C">
        <w:t xml:space="preserve"> de </w:t>
      </w:r>
      <w:r w:rsidR="005F6030">
        <w:t>T</w:t>
      </w:r>
      <w:r w:rsidR="0013785C">
        <w:t xml:space="preserve">elemetría </w:t>
      </w:r>
      <w:r w:rsidR="00A5621C">
        <w:t xml:space="preserve">calculado para la infraestructura </w:t>
      </w:r>
      <w:r w:rsidR="0013785C" w:rsidRPr="0013785C">
        <w:rPr>
          <w:i/>
        </w:rPr>
        <w:t>i</w:t>
      </w:r>
      <w:r w:rsidR="0013785C">
        <w:t xml:space="preserve"> </w:t>
      </w:r>
      <w:r w:rsidR="00FA1865">
        <w:t>con</w:t>
      </w:r>
      <w:r w:rsidR="0013785C">
        <w:t xml:space="preserve"> prioridad </w:t>
      </w:r>
      <w:r w:rsidR="0013785C" w:rsidRPr="0013785C">
        <w:rPr>
          <w:i/>
        </w:rPr>
        <w:t>p</w:t>
      </w:r>
      <w:r w:rsidRPr="00B57442">
        <w:t xml:space="preserve">. </w:t>
      </w:r>
    </w:p>
    <w:p w:rsidR="0013785C" w:rsidRDefault="0013785C" w:rsidP="0013785C">
      <w:pPr>
        <w:pStyle w:val="Subinciso"/>
        <w:ind w:left="2268"/>
      </w:pPr>
      <w:r>
        <w:rPr>
          <w:i/>
        </w:rPr>
        <w:t xml:space="preserve">i: </w:t>
      </w:r>
      <w:r w:rsidR="00ED6B77">
        <w:t>I</w:t>
      </w:r>
      <w:r w:rsidRPr="005462E7">
        <w:t>n</w:t>
      </w:r>
      <w:r w:rsidR="00A5621C" w:rsidRPr="005462E7">
        <w:t>fraestructura de TIC</w:t>
      </w:r>
      <w:r w:rsidR="00A96A8C">
        <w:t xml:space="preserve"> relacionada con el envío de la información de Telemetría, </w:t>
      </w:r>
      <w:r w:rsidR="00A5621C" w:rsidRPr="005462E7">
        <w:t xml:space="preserve">con </w:t>
      </w:r>
      <w:r w:rsidR="00A96A8C">
        <w:t xml:space="preserve">la </w:t>
      </w:r>
      <w:r w:rsidR="00A5621C" w:rsidRPr="005462E7">
        <w:t xml:space="preserve">que cuenta </w:t>
      </w:r>
      <w:r w:rsidR="00A96A8C">
        <w:t>el Transportista,</w:t>
      </w:r>
      <w:r w:rsidRPr="005462E7">
        <w:t xml:space="preserve"> </w:t>
      </w:r>
      <w:r w:rsidR="00ED6B77">
        <w:t xml:space="preserve">el </w:t>
      </w:r>
      <w:r w:rsidRPr="005462E7">
        <w:t>Distribuidor</w:t>
      </w:r>
      <w:r w:rsidR="00A96A8C">
        <w:t>,</w:t>
      </w:r>
      <w:r w:rsidRPr="005462E7">
        <w:t xml:space="preserve"> </w:t>
      </w:r>
      <w:r w:rsidR="00ED6B77">
        <w:t xml:space="preserve">la </w:t>
      </w:r>
      <w:r w:rsidRPr="005462E7">
        <w:t xml:space="preserve">Central Eléctrica o </w:t>
      </w:r>
      <w:r w:rsidR="00ED6B77">
        <w:t xml:space="preserve">el </w:t>
      </w:r>
      <w:r w:rsidRPr="005462E7">
        <w:t>Centro de Carga</w:t>
      </w:r>
      <w:r w:rsidR="00ED6B77">
        <w:t>, según sea el caso</w:t>
      </w:r>
      <w:r>
        <w:rPr>
          <w:i/>
        </w:rPr>
        <w:t>.</w:t>
      </w:r>
    </w:p>
    <w:p w:rsidR="00093B93" w:rsidRPr="00B57442" w:rsidRDefault="00093B93" w:rsidP="0013785C">
      <w:pPr>
        <w:pStyle w:val="Subinciso"/>
        <w:ind w:left="2268"/>
      </w:pPr>
      <w:r w:rsidRPr="0013785C">
        <w:rPr>
          <w:i/>
        </w:rPr>
        <w:t>p</w:t>
      </w:r>
      <w:r>
        <w:t xml:space="preserve">: Prioridad de la </w:t>
      </w:r>
      <w:r w:rsidR="00ED6B77">
        <w:t>I</w:t>
      </w:r>
      <w:r>
        <w:t>nfraestructura de TIC</w:t>
      </w:r>
      <w:r w:rsidR="00ED6B77">
        <w:t>.</w:t>
      </w:r>
      <w:r>
        <w:t xml:space="preserve"> </w:t>
      </w:r>
      <w:r w:rsidR="00ED6B77">
        <w:t>É</w:t>
      </w:r>
      <w:r>
        <w:t xml:space="preserve">sta puede ser Crítica, Alta, Media o Baja, de conformidad con lo indicado en el </w:t>
      </w:r>
      <w:r w:rsidRPr="00B57442">
        <w:t xml:space="preserve">anexo 7 </w:t>
      </w:r>
      <w:r>
        <w:lastRenderedPageBreak/>
        <w:t>“</w:t>
      </w:r>
      <w:r w:rsidRPr="00B57442">
        <w:t>Procedimiento Operativo para la Atención de Fallas en los sistemas de TIC</w:t>
      </w:r>
      <w:r>
        <w:t>”.</w:t>
      </w:r>
    </w:p>
    <w:p w:rsidR="009B1600" w:rsidRPr="00B57442" w:rsidRDefault="009B1600" w:rsidP="0013785C">
      <w:pPr>
        <w:pStyle w:val="Subinciso"/>
        <w:ind w:left="2268"/>
      </w:pPr>
      <w:r w:rsidRPr="005462E7">
        <w:rPr>
          <w:i/>
        </w:rPr>
        <w:t xml:space="preserve">Puntos </w:t>
      </w:r>
      <w:proofErr w:type="spellStart"/>
      <w:r w:rsidRPr="005462E7">
        <w:rPr>
          <w:i/>
        </w:rPr>
        <w:t>fallados</w:t>
      </w:r>
      <w:r w:rsidR="0013785C" w:rsidRPr="005462E7">
        <w:rPr>
          <w:i/>
          <w:vertAlign w:val="subscript"/>
        </w:rPr>
        <w:t>ip</w:t>
      </w:r>
      <w:proofErr w:type="spellEnd"/>
      <w:r w:rsidRPr="00B57442">
        <w:t xml:space="preserve">: Cantidad de puntos </w:t>
      </w:r>
      <w:r w:rsidR="005462E7">
        <w:t>correspondientes a la infraestructura</w:t>
      </w:r>
      <w:r w:rsidR="0013785C">
        <w:t xml:space="preserve"> </w:t>
      </w:r>
      <w:r w:rsidR="0013785C" w:rsidRPr="005462E7">
        <w:rPr>
          <w:i/>
        </w:rPr>
        <w:t>i</w:t>
      </w:r>
      <w:r w:rsidR="0013785C">
        <w:t xml:space="preserve"> de prioridad </w:t>
      </w:r>
      <w:r w:rsidR="0013785C" w:rsidRPr="005462E7">
        <w:rPr>
          <w:i/>
        </w:rPr>
        <w:t>p</w:t>
      </w:r>
      <w:r w:rsidR="0013785C">
        <w:t>,</w:t>
      </w:r>
      <w:r w:rsidR="005462E7">
        <w:t xml:space="preserve"> que fueron</w:t>
      </w:r>
      <w:r w:rsidR="00625573" w:rsidRPr="00B57442">
        <w:t xml:space="preserve"> </w:t>
      </w:r>
      <w:r w:rsidRPr="00B57442">
        <w:t xml:space="preserve">afectados durante </w:t>
      </w:r>
      <w:r w:rsidR="005462E7">
        <w:t>una</w:t>
      </w:r>
      <w:r w:rsidRPr="00B57442">
        <w:t xml:space="preserve"> </w:t>
      </w:r>
      <w:r w:rsidR="00625573">
        <w:t>F</w:t>
      </w:r>
      <w:r w:rsidRPr="00B57442">
        <w:t>alla</w:t>
      </w:r>
      <w:r w:rsidR="005462E7">
        <w:t>.</w:t>
      </w:r>
      <w:r w:rsidRPr="00B57442">
        <w:t xml:space="preserve"> </w:t>
      </w:r>
    </w:p>
    <w:p w:rsidR="009B1600" w:rsidRPr="00B57442" w:rsidRDefault="009B1600" w:rsidP="0013785C">
      <w:pPr>
        <w:pStyle w:val="Subinciso"/>
        <w:ind w:left="2268"/>
      </w:pPr>
      <w:r w:rsidRPr="005462E7">
        <w:rPr>
          <w:i/>
        </w:rPr>
        <w:t xml:space="preserve">Duración de la </w:t>
      </w:r>
      <w:proofErr w:type="spellStart"/>
      <w:r w:rsidRPr="005462E7">
        <w:rPr>
          <w:i/>
        </w:rPr>
        <w:t>Falla</w:t>
      </w:r>
      <w:r w:rsidR="005462E7" w:rsidRPr="005462E7">
        <w:rPr>
          <w:i/>
          <w:vertAlign w:val="subscript"/>
        </w:rPr>
        <w:t>ip</w:t>
      </w:r>
      <w:proofErr w:type="spellEnd"/>
      <w:r w:rsidRPr="00B57442">
        <w:t xml:space="preserve">: Tiempo en </w:t>
      </w:r>
      <w:r w:rsidR="00D40503">
        <w:t>minutos</w:t>
      </w:r>
      <w:r w:rsidR="0013785C">
        <w:t xml:space="preserve"> </w:t>
      </w:r>
      <w:r w:rsidR="00625573">
        <w:t xml:space="preserve">en que </w:t>
      </w:r>
      <w:r w:rsidR="005462E7">
        <w:t xml:space="preserve">la infraestructura </w:t>
      </w:r>
      <w:r w:rsidR="005462E7" w:rsidRPr="005462E7">
        <w:rPr>
          <w:i/>
        </w:rPr>
        <w:t>i</w:t>
      </w:r>
      <w:r w:rsidR="005462E7">
        <w:t xml:space="preserve"> de prioridad </w:t>
      </w:r>
      <w:r w:rsidR="005462E7" w:rsidRPr="005462E7">
        <w:rPr>
          <w:i/>
        </w:rPr>
        <w:t>p</w:t>
      </w:r>
      <w:r w:rsidR="005462E7">
        <w:t xml:space="preserve"> permanece afectada por la Falla. El tiempo se contará a partir de que inicie la licencia hasta el momento en el que sea</w:t>
      </w:r>
      <w:r w:rsidR="00625573">
        <w:t xml:space="preserve"> normalizad</w:t>
      </w:r>
      <w:r w:rsidR="005462E7">
        <w:t>a la infraestructura afectada</w:t>
      </w:r>
      <w:r w:rsidR="00681DB9">
        <w:t>.</w:t>
      </w:r>
    </w:p>
    <w:p w:rsidR="009B1600" w:rsidRPr="00B57442" w:rsidRDefault="009B1600" w:rsidP="0013785C">
      <w:pPr>
        <w:pStyle w:val="Subinciso"/>
        <w:ind w:left="2268"/>
      </w:pPr>
      <w:r w:rsidRPr="005462E7">
        <w:rPr>
          <w:i/>
        </w:rPr>
        <w:t xml:space="preserve">Total de </w:t>
      </w:r>
      <w:proofErr w:type="spellStart"/>
      <w:r w:rsidRPr="005462E7">
        <w:rPr>
          <w:i/>
        </w:rPr>
        <w:t>Puntos</w:t>
      </w:r>
      <w:r w:rsidR="005462E7" w:rsidRPr="005462E7">
        <w:rPr>
          <w:i/>
          <w:vertAlign w:val="subscript"/>
        </w:rPr>
        <w:t>ip</w:t>
      </w:r>
      <w:proofErr w:type="spellEnd"/>
      <w:r w:rsidRPr="00B57442">
        <w:t>: Total de puntos</w:t>
      </w:r>
      <w:r w:rsidR="005462E7">
        <w:t xml:space="preserve"> correspondientes a la infraestructura </w:t>
      </w:r>
      <w:r w:rsidR="005462E7" w:rsidRPr="005462E7">
        <w:rPr>
          <w:i/>
        </w:rPr>
        <w:t>i</w:t>
      </w:r>
      <w:r w:rsidR="005462E7">
        <w:rPr>
          <w:i/>
        </w:rPr>
        <w:t xml:space="preserve"> </w:t>
      </w:r>
      <w:r w:rsidR="005462E7" w:rsidRPr="005462E7">
        <w:t>que fueron convenidos con el CENACE</w:t>
      </w:r>
      <w:r w:rsidR="000D5678" w:rsidRPr="005462E7">
        <w:t xml:space="preserve"> </w:t>
      </w:r>
      <w:r w:rsidR="00681DB9">
        <w:t xml:space="preserve">para cada </w:t>
      </w:r>
      <w:r w:rsidRPr="00B57442">
        <w:t>prioridad</w:t>
      </w:r>
      <w:r w:rsidR="005462E7">
        <w:t xml:space="preserve"> </w:t>
      </w:r>
      <w:r w:rsidR="005462E7" w:rsidRPr="005462E7">
        <w:rPr>
          <w:i/>
        </w:rPr>
        <w:t>p</w:t>
      </w:r>
      <w:r w:rsidR="005462E7">
        <w:t>.</w:t>
      </w:r>
      <w:r w:rsidR="000D5678">
        <w:t xml:space="preserve"> </w:t>
      </w:r>
    </w:p>
    <w:p w:rsidR="009B1600" w:rsidRPr="00B57442" w:rsidRDefault="009B1600" w:rsidP="0013785C">
      <w:pPr>
        <w:pStyle w:val="Subinciso"/>
        <w:ind w:left="2268"/>
      </w:pPr>
      <w:r w:rsidRPr="00B57442">
        <w:t xml:space="preserve">Período de Evaluación: Tiempo en </w:t>
      </w:r>
      <w:r w:rsidR="00D40503">
        <w:t>minutos</w:t>
      </w:r>
      <w:r w:rsidRPr="00B57442">
        <w:t xml:space="preserve"> </w:t>
      </w:r>
      <w:commentRangeStart w:id="10"/>
      <w:r w:rsidR="00681DB9">
        <w:t>del</w:t>
      </w:r>
      <w:r w:rsidR="00625573">
        <w:t xml:space="preserve"> mes</w:t>
      </w:r>
      <w:commentRangeEnd w:id="10"/>
      <w:r w:rsidR="00890427">
        <w:rPr>
          <w:rStyle w:val="Refdecomentario"/>
          <w:rFonts w:asciiTheme="minorHAnsi" w:hAnsiTheme="minorHAnsi" w:cstheme="minorBidi"/>
          <w:lang w:bidi="ar-SA"/>
        </w:rPr>
        <w:commentReference w:id="10"/>
      </w:r>
      <w:r w:rsidR="00890427">
        <w:t>.</w:t>
      </w:r>
    </w:p>
    <w:p w:rsidR="009B1600" w:rsidRPr="00B57442" w:rsidRDefault="009B1600" w:rsidP="0013785C">
      <w:pPr>
        <w:pStyle w:val="Inciso"/>
      </w:pPr>
      <w:r w:rsidRPr="00B57442">
        <w:t xml:space="preserve">Para el cumplimiento de </w:t>
      </w:r>
      <w:r w:rsidR="000D5678">
        <w:t>D</w:t>
      </w:r>
      <w:r w:rsidRPr="00B57442">
        <w:t xml:space="preserve">isponibilidad de la información </w:t>
      </w:r>
      <w:r w:rsidR="000D5678">
        <w:t xml:space="preserve">de Telemetría </w:t>
      </w:r>
      <w:r w:rsidRPr="00B57442">
        <w:t xml:space="preserve">requerida por el CENACE, </w:t>
      </w:r>
      <w:r w:rsidR="000D5678">
        <w:t xml:space="preserve">en la tabla siguiente </w:t>
      </w:r>
      <w:r w:rsidRPr="00B57442">
        <w:t>se define un porcentaje p</w:t>
      </w:r>
      <w:r w:rsidR="000D5678">
        <w:t>ara</w:t>
      </w:r>
      <w:r w:rsidRPr="00B57442">
        <w:t xml:space="preserve"> </w:t>
      </w:r>
      <w:r w:rsidR="000D5678">
        <w:t>l</w:t>
      </w:r>
      <w:r w:rsidRPr="00B57442">
        <w:t xml:space="preserve">a </w:t>
      </w:r>
      <w:r w:rsidR="000D5678">
        <w:t>información, según su prioridad.</w:t>
      </w:r>
    </w:p>
    <w:tbl>
      <w:tblPr>
        <w:tblStyle w:val="Tablaconcuadrcula"/>
        <w:tblW w:w="0" w:type="auto"/>
        <w:tblInd w:w="2802" w:type="dxa"/>
        <w:tblLook w:val="04A0" w:firstRow="1" w:lastRow="0" w:firstColumn="1" w:lastColumn="0" w:noHBand="0" w:noVBand="1"/>
      </w:tblPr>
      <w:tblGrid>
        <w:gridCol w:w="2559"/>
        <w:gridCol w:w="2685"/>
      </w:tblGrid>
      <w:tr w:rsidR="009B1600" w:rsidRPr="00B57442" w:rsidTr="00AB663F">
        <w:tc>
          <w:tcPr>
            <w:tcW w:w="2559" w:type="dxa"/>
          </w:tcPr>
          <w:p w:rsidR="009B1600" w:rsidRPr="00AB663F" w:rsidRDefault="009B1600" w:rsidP="00AB663F">
            <w:pPr>
              <w:pStyle w:val="Subinciso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AB663F">
              <w:rPr>
                <w:b/>
              </w:rPr>
              <w:t xml:space="preserve">Clasificación </w:t>
            </w:r>
            <w:r w:rsidR="008665AC">
              <w:rPr>
                <w:b/>
              </w:rPr>
              <w:t>por</w:t>
            </w:r>
            <w:r w:rsidRPr="00AB663F">
              <w:rPr>
                <w:b/>
              </w:rPr>
              <w:t xml:space="preserve"> </w:t>
            </w:r>
            <w:r w:rsidR="008665AC">
              <w:rPr>
                <w:b/>
              </w:rPr>
              <w:t>p</w:t>
            </w:r>
            <w:r w:rsidRPr="00AB663F">
              <w:rPr>
                <w:b/>
              </w:rPr>
              <w:t>rioridad</w:t>
            </w:r>
          </w:p>
        </w:tc>
        <w:tc>
          <w:tcPr>
            <w:tcW w:w="2685" w:type="dxa"/>
          </w:tcPr>
          <w:p w:rsidR="009B1600" w:rsidRPr="00AB663F" w:rsidRDefault="009B1600" w:rsidP="00AB663F">
            <w:pPr>
              <w:pStyle w:val="Subinciso"/>
              <w:numPr>
                <w:ilvl w:val="0"/>
                <w:numId w:val="0"/>
              </w:numPr>
              <w:jc w:val="center"/>
              <w:rPr>
                <w:b/>
              </w:rPr>
            </w:pPr>
            <w:commentRangeStart w:id="11"/>
            <w:r w:rsidRPr="00AB663F">
              <w:rPr>
                <w:b/>
              </w:rPr>
              <w:t xml:space="preserve">Porcentaje </w:t>
            </w:r>
            <w:r w:rsidR="008E1A5E">
              <w:rPr>
                <w:b/>
              </w:rPr>
              <w:t>r</w:t>
            </w:r>
            <w:r w:rsidR="008E1A5E" w:rsidRPr="00F602A9">
              <w:rPr>
                <w:b/>
              </w:rPr>
              <w:t>equerido</w:t>
            </w:r>
            <w:r w:rsidR="008E1A5E" w:rsidRPr="008665AC">
              <w:rPr>
                <w:b/>
              </w:rPr>
              <w:t xml:space="preserve"> </w:t>
            </w:r>
            <w:r w:rsidRPr="00AB663F">
              <w:rPr>
                <w:b/>
              </w:rPr>
              <w:t xml:space="preserve">de Disponibilidad </w:t>
            </w:r>
            <w:r w:rsidR="00660D28">
              <w:rPr>
                <w:b/>
              </w:rPr>
              <w:t>mensual</w:t>
            </w:r>
            <w:commentRangeEnd w:id="11"/>
            <w:r w:rsidR="00660D28">
              <w:rPr>
                <w:rStyle w:val="Refdecomentario"/>
                <w:rFonts w:asciiTheme="minorHAnsi" w:eastAsiaTheme="minorEastAsia" w:hAnsiTheme="minorHAnsi" w:cstheme="minorBidi"/>
                <w:lang w:eastAsia="es-MX" w:bidi="ar-SA"/>
              </w:rPr>
              <w:commentReference w:id="11"/>
            </w:r>
          </w:p>
        </w:tc>
      </w:tr>
      <w:tr w:rsidR="009B1600" w:rsidRPr="00B57442" w:rsidTr="00AB663F">
        <w:tc>
          <w:tcPr>
            <w:tcW w:w="2559" w:type="dxa"/>
          </w:tcPr>
          <w:p w:rsidR="009B1600" w:rsidRPr="00B57442" w:rsidRDefault="009B1600" w:rsidP="00AB663F">
            <w:pPr>
              <w:pStyle w:val="Subinciso"/>
              <w:numPr>
                <w:ilvl w:val="0"/>
                <w:numId w:val="0"/>
              </w:numPr>
              <w:jc w:val="center"/>
            </w:pPr>
            <w:r w:rsidRPr="00B57442">
              <w:t>Crítica</w:t>
            </w:r>
          </w:p>
        </w:tc>
        <w:tc>
          <w:tcPr>
            <w:tcW w:w="2685" w:type="dxa"/>
          </w:tcPr>
          <w:p w:rsidR="009B1600" w:rsidRPr="00B57442" w:rsidRDefault="009B1600" w:rsidP="009D1B72">
            <w:pPr>
              <w:pStyle w:val="Subinciso"/>
              <w:numPr>
                <w:ilvl w:val="0"/>
                <w:numId w:val="0"/>
              </w:numPr>
              <w:jc w:val="center"/>
            </w:pPr>
            <w:r w:rsidRPr="00B57442">
              <w:t>99.98%</w:t>
            </w:r>
          </w:p>
        </w:tc>
      </w:tr>
      <w:tr w:rsidR="009B1600" w:rsidRPr="00B57442" w:rsidTr="00AB663F">
        <w:tc>
          <w:tcPr>
            <w:tcW w:w="2559" w:type="dxa"/>
          </w:tcPr>
          <w:p w:rsidR="009B1600" w:rsidRPr="00B57442" w:rsidRDefault="009B1600" w:rsidP="00AB663F">
            <w:pPr>
              <w:pStyle w:val="Subinciso"/>
              <w:numPr>
                <w:ilvl w:val="0"/>
                <w:numId w:val="0"/>
              </w:numPr>
              <w:jc w:val="center"/>
            </w:pPr>
            <w:r w:rsidRPr="00B57442">
              <w:t>Alta</w:t>
            </w:r>
          </w:p>
        </w:tc>
        <w:tc>
          <w:tcPr>
            <w:tcW w:w="2685" w:type="dxa"/>
          </w:tcPr>
          <w:p w:rsidR="009B1600" w:rsidRPr="00B57442" w:rsidRDefault="009B1600" w:rsidP="009D1B72">
            <w:pPr>
              <w:pStyle w:val="Subinciso"/>
              <w:numPr>
                <w:ilvl w:val="0"/>
                <w:numId w:val="0"/>
              </w:numPr>
              <w:jc w:val="center"/>
            </w:pPr>
            <w:r w:rsidRPr="00B57442">
              <w:t>99.95%</w:t>
            </w:r>
          </w:p>
        </w:tc>
      </w:tr>
      <w:tr w:rsidR="009B1600" w:rsidRPr="00B57442" w:rsidTr="00AB663F">
        <w:tc>
          <w:tcPr>
            <w:tcW w:w="2559" w:type="dxa"/>
          </w:tcPr>
          <w:p w:rsidR="009B1600" w:rsidRPr="00B57442" w:rsidRDefault="009B1600" w:rsidP="00AB663F">
            <w:pPr>
              <w:pStyle w:val="Subinciso"/>
              <w:numPr>
                <w:ilvl w:val="0"/>
                <w:numId w:val="0"/>
              </w:numPr>
              <w:jc w:val="center"/>
            </w:pPr>
            <w:r w:rsidRPr="00B57442">
              <w:t>Media</w:t>
            </w:r>
          </w:p>
        </w:tc>
        <w:tc>
          <w:tcPr>
            <w:tcW w:w="2685" w:type="dxa"/>
          </w:tcPr>
          <w:p w:rsidR="009B1600" w:rsidRPr="00B57442" w:rsidRDefault="009B1600" w:rsidP="009D1B72">
            <w:pPr>
              <w:pStyle w:val="Subinciso"/>
              <w:numPr>
                <w:ilvl w:val="0"/>
                <w:numId w:val="0"/>
              </w:numPr>
              <w:jc w:val="center"/>
            </w:pPr>
            <w:r w:rsidRPr="00B57442">
              <w:t>99.80%</w:t>
            </w:r>
          </w:p>
        </w:tc>
      </w:tr>
      <w:tr w:rsidR="009B1600" w:rsidRPr="00B57442" w:rsidTr="00AB663F">
        <w:tc>
          <w:tcPr>
            <w:tcW w:w="2559" w:type="dxa"/>
          </w:tcPr>
          <w:p w:rsidR="009B1600" w:rsidRPr="00B57442" w:rsidRDefault="009B1600" w:rsidP="00AB663F">
            <w:pPr>
              <w:pStyle w:val="Subinciso"/>
              <w:numPr>
                <w:ilvl w:val="0"/>
                <w:numId w:val="0"/>
              </w:numPr>
              <w:jc w:val="center"/>
            </w:pPr>
            <w:r w:rsidRPr="00B57442">
              <w:t>Baja</w:t>
            </w:r>
          </w:p>
        </w:tc>
        <w:tc>
          <w:tcPr>
            <w:tcW w:w="2685" w:type="dxa"/>
          </w:tcPr>
          <w:p w:rsidR="009B1600" w:rsidRPr="00B57442" w:rsidRDefault="009B1600" w:rsidP="009D1B72">
            <w:pPr>
              <w:pStyle w:val="Subinciso"/>
              <w:numPr>
                <w:ilvl w:val="0"/>
                <w:numId w:val="0"/>
              </w:numPr>
              <w:jc w:val="center"/>
            </w:pPr>
            <w:r w:rsidRPr="00B57442">
              <w:t>99.50%</w:t>
            </w:r>
          </w:p>
        </w:tc>
      </w:tr>
    </w:tbl>
    <w:p w:rsidR="009B1600" w:rsidRDefault="009B1600" w:rsidP="00AB663F">
      <w:pPr>
        <w:pStyle w:val="Inciso"/>
      </w:pPr>
      <w:r>
        <w:t xml:space="preserve">El CENACE contabilizará en todo momento la duración las </w:t>
      </w:r>
      <w:r w:rsidR="00625573">
        <w:t>F</w:t>
      </w:r>
      <w:r>
        <w:t xml:space="preserve">allas, independientemente de su atención, para el cálculo del </w:t>
      </w:r>
      <w:r w:rsidR="00625573">
        <w:t>PDI</w:t>
      </w:r>
      <w:r>
        <w:t>.</w:t>
      </w:r>
    </w:p>
    <w:p w:rsidR="009B1600" w:rsidRDefault="005C4517" w:rsidP="00AB663F">
      <w:pPr>
        <w:pStyle w:val="Inciso"/>
      </w:pPr>
      <w:r>
        <w:t>El registro oficial de licencias del CENACE es l</w:t>
      </w:r>
      <w:r w:rsidR="009B1600">
        <w:t xml:space="preserve">a fuente para determinar tanto la duración de una </w:t>
      </w:r>
      <w:r w:rsidR="00625573">
        <w:t>F</w:t>
      </w:r>
      <w:r w:rsidR="009B1600">
        <w:t>alla como la información afectada durante la misma</w:t>
      </w:r>
      <w:r w:rsidR="005F6030">
        <w:t>,</w:t>
      </w:r>
      <w:r w:rsidR="009B1600">
        <w:t xml:space="preserve"> para </w:t>
      </w:r>
      <w:r w:rsidR="00625573">
        <w:t>obtener</w:t>
      </w:r>
      <w:r w:rsidR="009B1600">
        <w:t xml:space="preserve"> el </w:t>
      </w:r>
      <w:r w:rsidR="00625573">
        <w:t>PDI</w:t>
      </w:r>
      <w:r>
        <w:t>.</w:t>
      </w:r>
    </w:p>
    <w:p w:rsidR="00D9462F" w:rsidRPr="00AB663F" w:rsidRDefault="00D9462F" w:rsidP="00AB663F">
      <w:pPr>
        <w:pStyle w:val="Prrafodelista"/>
        <w:numPr>
          <w:ilvl w:val="1"/>
          <w:numId w:val="23"/>
        </w:numPr>
        <w:contextualSpacing w:val="0"/>
        <w:rPr>
          <w:rStyle w:val="body0020text0020first0020indentchar"/>
          <w:rFonts w:ascii="Arial" w:hAnsi="Arial" w:cs="Arial"/>
          <w:sz w:val="20"/>
          <w:szCs w:val="20"/>
        </w:rPr>
      </w:pPr>
      <w:r w:rsidRPr="00AB663F">
        <w:rPr>
          <w:rStyle w:val="body0020text0020first0020indentchar"/>
          <w:rFonts w:ascii="Arial" w:hAnsi="Arial" w:cs="Arial"/>
          <w:sz w:val="20"/>
          <w:szCs w:val="20"/>
        </w:rPr>
        <w:t>Disponibilidad de</w:t>
      </w:r>
      <w:r w:rsidR="00ED6B77" w:rsidRPr="00AB663F">
        <w:rPr>
          <w:rStyle w:val="body0020text0020first0020indentchar"/>
          <w:rFonts w:ascii="Arial" w:hAnsi="Arial" w:cs="Arial"/>
          <w:sz w:val="20"/>
          <w:szCs w:val="20"/>
        </w:rPr>
        <w:t>l servicio de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voz</w:t>
      </w:r>
    </w:p>
    <w:p w:rsidR="00D9462F" w:rsidRDefault="00D9462F" w:rsidP="00660D28">
      <w:pPr>
        <w:pStyle w:val="Inciso"/>
        <w:numPr>
          <w:ilvl w:val="3"/>
          <w:numId w:val="25"/>
        </w:numPr>
      </w:pPr>
      <w:r>
        <w:t>La disponibilidad del servicio de voz es responsabilidad del Transportista o Distribuidor, según corresponda, por lo que deberá realizar las acciones necesarias para evitar la falta de disponibilidad del servicio de voz.</w:t>
      </w:r>
      <w:r w:rsidR="00660D28">
        <w:t xml:space="preserve"> </w:t>
      </w:r>
      <w:r>
        <w:t>Se considera que no existe disponibilidad del servicio de voz cuando sea imposible comunicarse con el Transportista o Distribuidor a través de ambos medios de comunicación, tanto por el medio de comunicación primario como por el secundario.</w:t>
      </w:r>
    </w:p>
    <w:p w:rsidR="00D9462F" w:rsidRDefault="00D9462F" w:rsidP="00AB663F">
      <w:pPr>
        <w:pStyle w:val="Inciso"/>
      </w:pPr>
      <w:r>
        <w:t>El tiempo durante el que el servicio no esté disponible se medirá</w:t>
      </w:r>
      <w:r w:rsidR="002016E9">
        <w:t xml:space="preserve"> en minutos,</w:t>
      </w:r>
      <w:r>
        <w:t xml:space="preserve"> desde el momento en que </w:t>
      </w:r>
      <w:r w:rsidR="009B1600">
        <w:t xml:space="preserve">se genera la licencia </w:t>
      </w:r>
      <w:r w:rsidR="002016E9">
        <w:t xml:space="preserve">relacionada con la </w:t>
      </w:r>
      <w:r w:rsidR="00625573">
        <w:t>F</w:t>
      </w:r>
      <w:r w:rsidR="002016E9">
        <w:t xml:space="preserve">alla en el servicio de voz </w:t>
      </w:r>
      <w:r>
        <w:t xml:space="preserve">del Transportista o Distribuidor, hasta el momento en que </w:t>
      </w:r>
      <w:r w:rsidR="002016E9">
        <w:t>termine la licencia, con base en el registro oficial de licencias del CENACE.</w:t>
      </w:r>
    </w:p>
    <w:p w:rsidR="00D9462F" w:rsidRDefault="00D9462F" w:rsidP="00AB663F">
      <w:pPr>
        <w:pStyle w:val="Inciso"/>
      </w:pPr>
      <w:r>
        <w:t xml:space="preserve">Al finalizar el </w:t>
      </w:r>
      <w:r w:rsidR="002016E9">
        <w:t>mes</w:t>
      </w:r>
      <w:r w:rsidR="00C0770A">
        <w:t>,</w:t>
      </w:r>
      <w:r>
        <w:t xml:space="preserve"> </w:t>
      </w:r>
      <w:r w:rsidR="003C7EDF">
        <w:t xml:space="preserve">el CENACE </w:t>
      </w:r>
      <w:r>
        <w:t xml:space="preserve">se sumará el tiempo </w:t>
      </w:r>
      <w:r w:rsidR="002016E9">
        <w:t>al que se refiere el inciso (d)</w:t>
      </w:r>
      <w:r w:rsidR="00625573">
        <w:t xml:space="preserve">, de </w:t>
      </w:r>
      <w:r>
        <w:t xml:space="preserve">todas las ocasiones en que se haya observado que el servicio </w:t>
      </w:r>
      <w:r w:rsidR="00625573">
        <w:t xml:space="preserve">de voz </w:t>
      </w:r>
      <w:r>
        <w:t>no estuvo disponible</w:t>
      </w:r>
      <w:r w:rsidR="00856377">
        <w:t>.</w:t>
      </w:r>
      <w:r>
        <w:t xml:space="preserve"> </w:t>
      </w:r>
    </w:p>
    <w:p w:rsidR="00D9462F" w:rsidRDefault="00856377" w:rsidP="00AB663F">
      <w:pPr>
        <w:pStyle w:val="Inciso"/>
      </w:pPr>
      <w:r>
        <w:lastRenderedPageBreak/>
        <w:t>Esta estadística se obtendrá con el fin de</w:t>
      </w:r>
      <w:r w:rsidR="00D9462F">
        <w:t xml:space="preserve"> </w:t>
      </w:r>
      <w:r w:rsidR="003C7EDF">
        <w:t>que la CRE evalúe</w:t>
      </w:r>
      <w:r w:rsidR="00B56A6E">
        <w:t xml:space="preserve"> el</w:t>
      </w:r>
      <w:r w:rsidR="00D9462F">
        <w:t xml:space="preserve"> impacto</w:t>
      </w:r>
      <w:r w:rsidR="00B56A6E">
        <w:t xml:space="preserve"> de la indisponibilidad del servicio de voz</w:t>
      </w:r>
      <w:r w:rsidR="00D9462F">
        <w:t xml:space="preserve"> sobre el Control Operativo del SEN o la </w:t>
      </w:r>
      <w:r w:rsidR="009F56DF">
        <w:t>operación del MEM.</w:t>
      </w:r>
    </w:p>
    <w:p w:rsidR="00625573" w:rsidRDefault="00625573" w:rsidP="00625573">
      <w:pPr>
        <w:pStyle w:val="Inciso"/>
      </w:pPr>
      <w:r>
        <w:t>Si el servicio de voz hacia el Transportista o Distribuidor no está disponible, se considerará que es por causa imputable a cualquiera de éstos. Lo anterior, sin perjuicio de que el Transportista o Distribuidor puedan imputar cualquier falla a sus proveedores externos, o que demuestren que la causa es imputable al CENACE.</w:t>
      </w:r>
    </w:p>
    <w:p w:rsidR="00D9462F" w:rsidRPr="00D17369" w:rsidRDefault="00D9462F" w:rsidP="00AB663F">
      <w:pPr>
        <w:pStyle w:val="Inciso"/>
      </w:pPr>
      <w:r>
        <w:t>Cualquier controversia relacionada con la disponibilidad del servicio de voz se solucionará bajo los procedimientos establecidos en el Manual de Solución de Controversias.</w:t>
      </w:r>
    </w:p>
    <w:p w:rsidR="001C0824" w:rsidRPr="00AB663F" w:rsidRDefault="001C0824" w:rsidP="00AB663F">
      <w:pPr>
        <w:pStyle w:val="Prrafodelista"/>
        <w:numPr>
          <w:ilvl w:val="0"/>
          <w:numId w:val="23"/>
        </w:numPr>
        <w:spacing w:before="360"/>
        <w:ind w:left="357" w:hanging="357"/>
        <w:contextualSpacing w:val="0"/>
        <w:rPr>
          <w:rStyle w:val="body0020text0020first0020indentchar"/>
          <w:rFonts w:ascii="Arial" w:hAnsi="Arial" w:cs="Arial"/>
          <w:b/>
          <w:sz w:val="20"/>
          <w:szCs w:val="20"/>
        </w:rPr>
      </w:pPr>
      <w:bookmarkStart w:id="12" w:name="_Toc474526656"/>
      <w:bookmarkEnd w:id="4"/>
      <w:bookmarkEnd w:id="5"/>
      <w:r w:rsidRPr="00AB663F">
        <w:rPr>
          <w:rStyle w:val="body0020text0020first0020indentchar"/>
          <w:rFonts w:ascii="Arial" w:hAnsi="Arial" w:cs="Arial"/>
          <w:b/>
          <w:sz w:val="20"/>
          <w:szCs w:val="20"/>
        </w:rPr>
        <w:t>Responsabilidades</w:t>
      </w:r>
      <w:bookmarkEnd w:id="12"/>
    </w:p>
    <w:p w:rsidR="00FC0709" w:rsidRPr="00AB663F" w:rsidRDefault="00FC0709" w:rsidP="00D83819">
      <w:pPr>
        <w:pStyle w:val="Prrafodelista"/>
        <w:numPr>
          <w:ilvl w:val="1"/>
          <w:numId w:val="23"/>
        </w:numPr>
        <w:contextualSpacing w:val="0"/>
        <w:jc w:val="both"/>
        <w:rPr>
          <w:rStyle w:val="body0020text0020first0020indentchar"/>
          <w:rFonts w:ascii="Arial" w:hAnsi="Arial" w:cs="Arial"/>
          <w:sz w:val="20"/>
          <w:szCs w:val="20"/>
        </w:rPr>
      </w:pPr>
      <w:bookmarkStart w:id="13" w:name="_GoBack"/>
      <w:r w:rsidRPr="00AB663F">
        <w:rPr>
          <w:rStyle w:val="body0020text0020first0020indentchar"/>
          <w:rFonts w:ascii="Arial" w:hAnsi="Arial" w:cs="Arial"/>
          <w:sz w:val="20"/>
          <w:szCs w:val="20"/>
        </w:rPr>
        <w:t>Previo a la entrad</w:t>
      </w:r>
      <w:r w:rsidR="00ED6B77" w:rsidRPr="00AB663F">
        <w:rPr>
          <w:rStyle w:val="body0020text0020first0020indentchar"/>
          <w:rFonts w:ascii="Arial" w:hAnsi="Arial" w:cs="Arial"/>
          <w:sz w:val="20"/>
          <w:szCs w:val="20"/>
        </w:rPr>
        <w:t>a en operación comercial de la I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nfraestructura de TIC, e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l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CENACE, </w:t>
      </w:r>
      <w:r w:rsidR="001C0824" w:rsidRPr="00AB663F">
        <w:rPr>
          <w:rStyle w:val="body0020text0020first0020indentchar"/>
          <w:rFonts w:ascii="Arial" w:hAnsi="Arial" w:cs="Arial"/>
          <w:sz w:val="20"/>
          <w:szCs w:val="20"/>
        </w:rPr>
        <w:t>Transportista, Distribuidor, Central Eléctrica o Centro de Carga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son responsables</w:t>
      </w:r>
      <w:r w:rsidR="00785A12" w:rsidRPr="00AB663F">
        <w:rPr>
          <w:rStyle w:val="body0020text0020first0020indentchar"/>
          <w:rFonts w:ascii="Arial" w:hAnsi="Arial" w:cs="Arial"/>
          <w:sz w:val="20"/>
          <w:szCs w:val="20"/>
        </w:rPr>
        <w:t>,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</w:t>
      </w:r>
      <w:r w:rsidR="00785A12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cada quien en su ámbito, 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de cumplir los </w:t>
      </w:r>
      <w:r w:rsidR="008665AC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requisitos 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de calidad de la información. </w:t>
      </w:r>
    </w:p>
    <w:p w:rsidR="001C0824" w:rsidRPr="00AB663F" w:rsidRDefault="008A0F27" w:rsidP="00D83819">
      <w:pPr>
        <w:pStyle w:val="Prrafodelista"/>
        <w:numPr>
          <w:ilvl w:val="1"/>
          <w:numId w:val="23"/>
        </w:numPr>
        <w:contextualSpacing w:val="0"/>
        <w:jc w:val="both"/>
        <w:rPr>
          <w:rStyle w:val="body0020text0020first0020indentchar"/>
          <w:rFonts w:ascii="Arial" w:hAnsi="Arial" w:cs="Arial"/>
          <w:sz w:val="20"/>
          <w:szCs w:val="20"/>
        </w:rPr>
      </w:pPr>
      <w:r w:rsidRPr="00AB663F">
        <w:rPr>
          <w:rStyle w:val="body0020text0020first0020indentchar"/>
          <w:rFonts w:ascii="Arial" w:hAnsi="Arial" w:cs="Arial"/>
          <w:sz w:val="20"/>
          <w:szCs w:val="20"/>
        </w:rPr>
        <w:t>L</w:t>
      </w:r>
      <w:r w:rsidR="007C6E3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a verificación del cumplimiento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de 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estos requisitos de calidad de la información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se </w:t>
      </w:r>
      <w:r w:rsidR="00785A12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debe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realiza</w:t>
      </w:r>
      <w:r w:rsidR="00785A12" w:rsidRPr="00AB663F">
        <w:rPr>
          <w:rStyle w:val="body0020text0020first0020indentchar"/>
          <w:rFonts w:ascii="Arial" w:hAnsi="Arial" w:cs="Arial"/>
          <w:sz w:val="20"/>
          <w:szCs w:val="20"/>
        </w:rPr>
        <w:t>r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previo a</w:t>
      </w:r>
      <w:r w:rsidR="007C6E3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la Puesta en Servicio</w:t>
      </w:r>
      <w:r w:rsidR="00785A12" w:rsidRPr="00AB663F">
        <w:rPr>
          <w:rStyle w:val="body0020text0020first0020indentchar"/>
          <w:rFonts w:ascii="Arial" w:hAnsi="Arial" w:cs="Arial"/>
          <w:sz w:val="20"/>
          <w:szCs w:val="20"/>
        </w:rPr>
        <w:t>,</w:t>
      </w:r>
      <w:r w:rsidR="007C6E3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a través de 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>l</w:t>
      </w:r>
      <w:r w:rsidR="007C6E3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a Unidad </w:t>
      </w:r>
      <w:r w:rsidR="00354764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de </w:t>
      </w:r>
      <w:r w:rsidR="007C6E31" w:rsidRPr="00AB663F">
        <w:rPr>
          <w:rStyle w:val="body0020text0020first0020indentchar"/>
          <w:rFonts w:ascii="Arial" w:hAnsi="Arial" w:cs="Arial"/>
          <w:sz w:val="20"/>
          <w:szCs w:val="20"/>
        </w:rPr>
        <w:t>Verifica</w:t>
      </w:r>
      <w:r w:rsidR="00354764" w:rsidRPr="00AB663F">
        <w:rPr>
          <w:rStyle w:val="body0020text0020first0020indentchar"/>
          <w:rFonts w:ascii="Arial" w:hAnsi="Arial" w:cs="Arial"/>
          <w:sz w:val="20"/>
          <w:szCs w:val="20"/>
        </w:rPr>
        <w:t>ción</w:t>
      </w:r>
      <w:r w:rsidR="007C6E3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</w:t>
      </w:r>
      <w:r w:rsidR="00354764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y la Unidad de Inspección, según corresponda, </w:t>
      </w:r>
      <w:r w:rsidR="007C6E3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y será un requisito para la interconexión/conexión de </w:t>
      </w:r>
      <w:r w:rsidR="00FC0709" w:rsidRPr="00AB663F">
        <w:rPr>
          <w:rStyle w:val="body0020text0020first0020indentchar"/>
          <w:rFonts w:ascii="Arial" w:hAnsi="Arial" w:cs="Arial"/>
          <w:sz w:val="20"/>
          <w:szCs w:val="20"/>
        </w:rPr>
        <w:t>las</w:t>
      </w:r>
      <w:r w:rsidR="007C6E3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instalaciones al SEN</w:t>
      </w:r>
      <w:r w:rsidR="001C0824" w:rsidRPr="00AB663F">
        <w:rPr>
          <w:rStyle w:val="body0020text0020first0020indentchar"/>
          <w:rFonts w:ascii="Arial" w:hAnsi="Arial" w:cs="Arial"/>
          <w:sz w:val="20"/>
          <w:szCs w:val="20"/>
        </w:rPr>
        <w:t>.</w:t>
      </w:r>
    </w:p>
    <w:p w:rsidR="005C5D3C" w:rsidRPr="00AB663F" w:rsidRDefault="00ED6B77" w:rsidP="00D83819">
      <w:pPr>
        <w:pStyle w:val="Prrafodelista"/>
        <w:numPr>
          <w:ilvl w:val="1"/>
          <w:numId w:val="23"/>
        </w:numPr>
        <w:contextualSpacing w:val="0"/>
        <w:jc w:val="both"/>
        <w:rPr>
          <w:rStyle w:val="body0020text0020first0020indentchar"/>
          <w:rFonts w:ascii="Arial" w:hAnsi="Arial" w:cs="Arial"/>
          <w:sz w:val="20"/>
          <w:szCs w:val="20"/>
        </w:rPr>
      </w:pPr>
      <w:r w:rsidRPr="00AB663F">
        <w:rPr>
          <w:rStyle w:val="body0020text0020first0020indentchar"/>
          <w:rFonts w:ascii="Arial" w:hAnsi="Arial" w:cs="Arial"/>
          <w:sz w:val="20"/>
          <w:szCs w:val="20"/>
        </w:rPr>
        <w:t>Una vez que la I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>nfraestructura</w:t>
      </w:r>
      <w:r w:rsidR="00FC0709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de TIC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esté en operación comercial</w:t>
      </w:r>
      <w:r w:rsidR="00FC0709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como parte del equipamiento del SEN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, </w:t>
      </w:r>
      <w:r w:rsidR="00FC0709" w:rsidRPr="00AB663F">
        <w:rPr>
          <w:rStyle w:val="body0020text0020first0020indentchar"/>
          <w:rFonts w:ascii="Arial" w:hAnsi="Arial" w:cs="Arial"/>
          <w:sz w:val="20"/>
          <w:szCs w:val="20"/>
        </w:rPr>
        <w:t>e</w:t>
      </w:r>
      <w:r w:rsidR="005C5D3C" w:rsidRPr="00AB663F">
        <w:rPr>
          <w:rStyle w:val="body0020text0020first0020indentchar"/>
          <w:rFonts w:ascii="Arial" w:hAnsi="Arial" w:cs="Arial"/>
          <w:sz w:val="20"/>
          <w:szCs w:val="20"/>
        </w:rPr>
        <w:t>l</w:t>
      </w:r>
      <w:r w:rsidR="00FC0709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CENACE,</w:t>
      </w:r>
      <w:r w:rsidR="005C5D3C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el </w:t>
      </w:r>
      <w:r w:rsidR="005C5D3C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Transportista, 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el </w:t>
      </w:r>
      <w:r w:rsidR="005C5D3C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Distribuidor, 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la </w:t>
      </w:r>
      <w:r w:rsidR="005C5D3C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Central Eléctrica 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>y</w:t>
      </w:r>
      <w:r w:rsidR="005C5D3C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el </w:t>
      </w:r>
      <w:r w:rsidR="005C5D3C" w:rsidRPr="00AB663F">
        <w:rPr>
          <w:rStyle w:val="body0020text0020first0020indentchar"/>
          <w:rFonts w:ascii="Arial" w:hAnsi="Arial" w:cs="Arial"/>
          <w:sz w:val="20"/>
          <w:szCs w:val="20"/>
        </w:rPr>
        <w:t>Centro de Carga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son responsables</w:t>
      </w:r>
      <w:r w:rsidR="00785A12" w:rsidRPr="00AB663F">
        <w:rPr>
          <w:rStyle w:val="body0020text0020first0020indentchar"/>
          <w:rFonts w:ascii="Arial" w:hAnsi="Arial" w:cs="Arial"/>
          <w:sz w:val="20"/>
          <w:szCs w:val="20"/>
        </w:rPr>
        <w:t>,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</w:t>
      </w:r>
      <w:r w:rsidR="00785A12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cada quien en su ámbito, 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de </w:t>
      </w:r>
      <w:r w:rsidR="00FC0709" w:rsidRPr="00AB663F">
        <w:rPr>
          <w:rStyle w:val="body0020text0020first0020indentchar"/>
          <w:rFonts w:ascii="Arial" w:hAnsi="Arial" w:cs="Arial"/>
          <w:sz w:val="20"/>
          <w:szCs w:val="20"/>
        </w:rPr>
        <w:t>dar</w:t>
      </w:r>
      <w:r w:rsidR="008A0F27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cumplimiento </w:t>
      </w:r>
      <w:r w:rsidR="00FC0709" w:rsidRPr="00AB663F">
        <w:rPr>
          <w:rStyle w:val="body0020text0020first0020indentchar"/>
          <w:rFonts w:ascii="Arial" w:hAnsi="Arial" w:cs="Arial"/>
          <w:sz w:val="20"/>
          <w:szCs w:val="20"/>
        </w:rPr>
        <w:t>a</w:t>
      </w:r>
      <w:r w:rsidR="005C5D3C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los </w:t>
      </w:r>
      <w:r w:rsidR="005238F5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requisitos </w:t>
      </w:r>
      <w:r w:rsidR="005C5D3C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de calidad de la información que se mencionan en este anexo. </w:t>
      </w:r>
    </w:p>
    <w:p w:rsidR="001C0824" w:rsidRPr="00AB663F" w:rsidRDefault="005238F5" w:rsidP="00D83819">
      <w:pPr>
        <w:pStyle w:val="Prrafodelista"/>
        <w:numPr>
          <w:ilvl w:val="1"/>
          <w:numId w:val="23"/>
        </w:numPr>
        <w:contextualSpacing w:val="0"/>
        <w:jc w:val="both"/>
        <w:rPr>
          <w:rStyle w:val="body0020text0020first0020indentchar"/>
          <w:rFonts w:ascii="Arial" w:hAnsi="Arial" w:cs="Arial"/>
          <w:sz w:val="20"/>
          <w:szCs w:val="20"/>
        </w:rPr>
      </w:pPr>
      <w:r w:rsidRPr="00AB663F">
        <w:rPr>
          <w:rStyle w:val="body0020text0020first0020indentchar"/>
          <w:rFonts w:ascii="Arial" w:hAnsi="Arial" w:cs="Arial"/>
          <w:sz w:val="20"/>
          <w:szCs w:val="20"/>
        </w:rPr>
        <w:t>El CENACE, el Transportista, el Distribuidor, la Central Eléctrica y el Centro de Carga son r</w:t>
      </w:r>
      <w:r w:rsidR="00604D4F" w:rsidRPr="00AB663F">
        <w:rPr>
          <w:rStyle w:val="body0020text0020first0020indentchar"/>
          <w:rFonts w:ascii="Arial" w:hAnsi="Arial" w:cs="Arial"/>
          <w:sz w:val="20"/>
          <w:szCs w:val="20"/>
        </w:rPr>
        <w:t>esponsab</w:t>
      </w:r>
      <w:r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les, </w:t>
      </w:r>
      <w:r w:rsidR="00625573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cada quien en su ámbito, </w:t>
      </w:r>
      <w:r w:rsidR="00604D4F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de </w:t>
      </w:r>
      <w:r w:rsidR="001C0824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obtener y entregar </w:t>
      </w:r>
      <w:r w:rsidR="00A74191" w:rsidRPr="00AB663F">
        <w:rPr>
          <w:rStyle w:val="body0020text0020first0020indentchar"/>
          <w:rFonts w:ascii="Arial" w:hAnsi="Arial" w:cs="Arial"/>
          <w:sz w:val="20"/>
          <w:szCs w:val="20"/>
        </w:rPr>
        <w:t>a la Unidad de Verificación</w:t>
      </w:r>
      <w:r w:rsidR="00C94676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o</w:t>
      </w:r>
      <w:r w:rsidR="00A7419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</w:t>
      </w:r>
      <w:r w:rsidR="00C94676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a </w:t>
      </w:r>
      <w:r w:rsidR="00A74191" w:rsidRPr="00AB663F">
        <w:rPr>
          <w:rStyle w:val="body0020text0020first0020indentchar"/>
          <w:rFonts w:ascii="Arial" w:hAnsi="Arial" w:cs="Arial"/>
          <w:sz w:val="20"/>
          <w:szCs w:val="20"/>
        </w:rPr>
        <w:t>la Unidad de Inspección</w:t>
      </w:r>
      <w:r w:rsidR="00C94676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, según corresponda, </w:t>
      </w:r>
      <w:r w:rsidR="001C0824" w:rsidRPr="00AB663F">
        <w:rPr>
          <w:rStyle w:val="body0020text0020first0020indentchar"/>
          <w:rFonts w:ascii="Arial" w:hAnsi="Arial" w:cs="Arial"/>
          <w:sz w:val="20"/>
          <w:szCs w:val="20"/>
        </w:rPr>
        <w:t>la evidencia</w:t>
      </w:r>
      <w:r w:rsidR="00A7419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</w:t>
      </w:r>
      <w:r w:rsidR="00D916BA">
        <w:rPr>
          <w:rStyle w:val="body0020text0020first0020indentchar"/>
          <w:rFonts w:ascii="Arial" w:hAnsi="Arial" w:cs="Arial"/>
          <w:sz w:val="20"/>
          <w:szCs w:val="20"/>
        </w:rPr>
        <w:t xml:space="preserve">documental </w:t>
      </w:r>
      <w:r w:rsidR="00C94676" w:rsidRPr="00AB663F">
        <w:rPr>
          <w:rStyle w:val="body0020text0020first0020indentchar"/>
          <w:rFonts w:ascii="Arial" w:hAnsi="Arial" w:cs="Arial"/>
          <w:sz w:val="20"/>
          <w:szCs w:val="20"/>
        </w:rPr>
        <w:t>d</w:t>
      </w:r>
      <w:r w:rsidR="00A7419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el cumplimiento de los </w:t>
      </w:r>
      <w:r w:rsidR="001E123C" w:rsidRPr="00AB663F">
        <w:rPr>
          <w:rStyle w:val="body0020text0020first0020indentchar"/>
          <w:rFonts w:ascii="Arial" w:hAnsi="Arial" w:cs="Arial"/>
          <w:sz w:val="20"/>
          <w:szCs w:val="20"/>
        </w:rPr>
        <w:t>requisitos</w:t>
      </w:r>
      <w:r w:rsidR="00A74191" w:rsidRPr="00AB663F">
        <w:rPr>
          <w:rStyle w:val="body0020text0020first0020indentchar"/>
          <w:rFonts w:ascii="Arial" w:hAnsi="Arial" w:cs="Arial"/>
          <w:sz w:val="20"/>
          <w:szCs w:val="20"/>
        </w:rPr>
        <w:t xml:space="preserve"> de calidad de la información</w:t>
      </w:r>
      <w:r w:rsidR="001E123C" w:rsidRPr="00AB663F">
        <w:rPr>
          <w:rStyle w:val="body0020text0020first0020indentchar"/>
          <w:rFonts w:ascii="Arial" w:hAnsi="Arial" w:cs="Arial"/>
          <w:sz w:val="20"/>
          <w:szCs w:val="20"/>
        </w:rPr>
        <w:t>.</w:t>
      </w:r>
    </w:p>
    <w:p w:rsidR="008665AC" w:rsidRPr="00AB663F" w:rsidRDefault="008665AC" w:rsidP="00AB663F">
      <w:pPr>
        <w:pStyle w:val="Prrafodelista"/>
        <w:numPr>
          <w:ilvl w:val="0"/>
          <w:numId w:val="23"/>
        </w:numPr>
        <w:spacing w:before="360"/>
        <w:ind w:left="357" w:hanging="357"/>
        <w:contextualSpacing w:val="0"/>
        <w:rPr>
          <w:rStyle w:val="body0020text0020first0020indentchar"/>
          <w:rFonts w:ascii="Arial" w:hAnsi="Arial" w:cs="Arial"/>
          <w:b/>
          <w:sz w:val="20"/>
          <w:szCs w:val="20"/>
        </w:rPr>
      </w:pPr>
      <w:bookmarkStart w:id="14" w:name="_Toc474526657"/>
      <w:bookmarkEnd w:id="13"/>
      <w:r w:rsidRPr="00AB663F">
        <w:rPr>
          <w:rStyle w:val="body0020text0020first0020indentchar"/>
          <w:rFonts w:ascii="Arial" w:hAnsi="Arial" w:cs="Arial"/>
          <w:b/>
          <w:sz w:val="20"/>
          <w:szCs w:val="20"/>
        </w:rPr>
        <w:t>Vigencia</w:t>
      </w:r>
      <w:bookmarkEnd w:id="14"/>
    </w:p>
    <w:p w:rsidR="008665AC" w:rsidRDefault="008665AC" w:rsidP="00AB663F">
      <w:pPr>
        <w:pStyle w:val="Numeral"/>
        <w:numPr>
          <w:ilvl w:val="0"/>
          <w:numId w:val="0"/>
        </w:numPr>
        <w:ind w:left="426"/>
      </w:pPr>
      <w:r>
        <w:t>Este anexo estará vigente hasta que la CRE emita el o los instrumentos jurídicos que lo sustituyan.</w:t>
      </w:r>
    </w:p>
    <w:p w:rsidR="008665AC" w:rsidRDefault="008665AC" w:rsidP="00AB663F">
      <w:pPr>
        <w:pStyle w:val="Numeral"/>
        <w:numPr>
          <w:ilvl w:val="0"/>
          <w:numId w:val="0"/>
        </w:numPr>
        <w:ind w:left="851"/>
      </w:pPr>
    </w:p>
    <w:sectPr w:rsidR="008665AC" w:rsidSect="00E0769F">
      <w:headerReference w:type="default" r:id="rId10"/>
      <w:footerReference w:type="default" r:id="rId11"/>
      <w:pgSz w:w="12240" w:h="15840"/>
      <w:pgMar w:top="1417" w:right="1750" w:bottom="1417" w:left="1701" w:header="708" w:footer="708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0" w:author="Beatriz Castrejón" w:date="2017-03-31T20:28:00Z" w:initials="BMCR">
    <w:p w:rsidR="00890427" w:rsidRDefault="00890427">
      <w:pPr>
        <w:pStyle w:val="Textocomentario"/>
      </w:pPr>
      <w:r>
        <w:rPr>
          <w:rStyle w:val="Refdecomentario"/>
        </w:rPr>
        <w:annotationRef/>
      </w:r>
      <w:r w:rsidR="00AB663F">
        <w:t xml:space="preserve">PREGUNTA PARA CENACE: </w:t>
      </w:r>
      <w:r>
        <w:t>¿</w:t>
      </w:r>
      <w:r w:rsidR="00ED6B77">
        <w:t>E</w:t>
      </w:r>
      <w:r>
        <w:t xml:space="preserve">ste valor es el tiempo en minutos del mes que corresponda o es un valor constante en el que se considere un mes </w:t>
      </w:r>
      <w:r w:rsidR="005F6030">
        <w:t>estándar</w:t>
      </w:r>
      <w:r>
        <w:t xml:space="preserve"> de 30 días?</w:t>
      </w:r>
    </w:p>
  </w:comment>
  <w:comment w:id="11" w:author="Beatriz Castrejon" w:date="2017-03-31T20:28:00Z" w:initials="BMCR">
    <w:p w:rsidR="00660D28" w:rsidRDefault="00660D28">
      <w:pPr>
        <w:pStyle w:val="Textocomentario"/>
      </w:pPr>
      <w:r>
        <w:rPr>
          <w:rStyle w:val="Refdecomentario"/>
        </w:rPr>
        <w:annotationRef/>
      </w:r>
      <w:r>
        <w:t xml:space="preserve">CFE TELECOM: </w:t>
      </w:r>
      <w:r>
        <w:rPr>
          <w:rFonts w:ascii="Helv" w:hAnsi="Helv" w:cs="Helv"/>
          <w:color w:val="000000"/>
        </w:rPr>
        <w:t xml:space="preserve">en la Tabla debe especificarse incluirse "mensual" en el texto "Porcentaje requerido de disponibilidad </w:t>
      </w:r>
      <w:r>
        <w:rPr>
          <w:rFonts w:ascii="Helv" w:hAnsi="Helv" w:cs="Helv"/>
          <w:color w:val="000000"/>
          <w:u w:val="single"/>
        </w:rPr>
        <w:t>mensual</w:t>
      </w:r>
      <w:r>
        <w:rPr>
          <w:rFonts w:ascii="Helv" w:hAnsi="Helv" w:cs="Helv"/>
          <w:color w:val="000000"/>
        </w:rPr>
        <w:t>".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738714" w15:done="0"/>
  <w15:commentEx w15:paraId="3F11F198" w15:done="0"/>
  <w15:commentEx w15:paraId="2E6E1A34" w15:done="0"/>
  <w15:commentEx w15:paraId="50F00964" w15:done="0"/>
  <w15:commentEx w15:paraId="23A52CA1" w15:done="0"/>
  <w15:commentEx w15:paraId="12ADD42A" w15:done="0"/>
  <w15:commentEx w15:paraId="31B10129" w15:done="0"/>
  <w15:commentEx w15:paraId="3351CEC8" w15:done="0"/>
  <w15:commentEx w15:paraId="6476950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EAB" w:rsidRDefault="00257EAB" w:rsidP="00FD2BE4">
      <w:pPr>
        <w:spacing w:after="0" w:line="240" w:lineRule="auto"/>
      </w:pPr>
      <w:r>
        <w:separator/>
      </w:r>
    </w:p>
  </w:endnote>
  <w:endnote w:type="continuationSeparator" w:id="0">
    <w:p w:rsidR="00257EAB" w:rsidRDefault="00257EAB" w:rsidP="00FD2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/>
        <w:sz w:val="20"/>
      </w:rPr>
      <w:id w:val="12386686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sz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0769F" w:rsidRPr="00E0769F" w:rsidRDefault="00E0769F">
            <w:pPr>
              <w:pStyle w:val="Piedepgina"/>
              <w:jc w:val="center"/>
              <w:rPr>
                <w:rFonts w:ascii="Arial" w:hAnsi="Arial"/>
                <w:sz w:val="20"/>
              </w:rPr>
            </w:pPr>
            <w:r w:rsidRPr="00E0769F">
              <w:rPr>
                <w:rFonts w:ascii="Arial" w:hAnsi="Arial"/>
                <w:sz w:val="20"/>
                <w:lang w:val="es-ES"/>
              </w:rPr>
              <w:t xml:space="preserve">Página </w:t>
            </w:r>
            <w:r w:rsidRPr="00E0769F">
              <w:rPr>
                <w:rFonts w:ascii="Arial" w:hAnsi="Arial"/>
                <w:bCs/>
                <w:sz w:val="20"/>
              </w:rPr>
              <w:fldChar w:fldCharType="begin"/>
            </w:r>
            <w:r w:rsidRPr="00E0769F">
              <w:rPr>
                <w:rFonts w:ascii="Arial" w:hAnsi="Arial"/>
                <w:bCs/>
                <w:sz w:val="20"/>
              </w:rPr>
              <w:instrText>PAGE</w:instrText>
            </w:r>
            <w:r w:rsidRPr="00E0769F">
              <w:rPr>
                <w:rFonts w:ascii="Arial" w:hAnsi="Arial"/>
                <w:bCs/>
                <w:sz w:val="20"/>
              </w:rPr>
              <w:fldChar w:fldCharType="separate"/>
            </w:r>
            <w:r w:rsidR="00D83819">
              <w:rPr>
                <w:rFonts w:ascii="Arial" w:hAnsi="Arial"/>
                <w:bCs/>
                <w:noProof/>
                <w:sz w:val="20"/>
              </w:rPr>
              <w:t>1</w:t>
            </w:r>
            <w:r w:rsidRPr="00E0769F">
              <w:rPr>
                <w:rFonts w:ascii="Arial" w:hAnsi="Arial"/>
                <w:bCs/>
                <w:sz w:val="20"/>
              </w:rPr>
              <w:fldChar w:fldCharType="end"/>
            </w:r>
            <w:r w:rsidRPr="00E0769F">
              <w:rPr>
                <w:rFonts w:ascii="Arial" w:hAnsi="Arial"/>
                <w:sz w:val="20"/>
                <w:lang w:val="es-ES"/>
              </w:rPr>
              <w:t xml:space="preserve"> de </w:t>
            </w:r>
            <w:r w:rsidRPr="00E0769F">
              <w:rPr>
                <w:rFonts w:ascii="Arial" w:hAnsi="Arial"/>
                <w:bCs/>
                <w:sz w:val="20"/>
              </w:rPr>
              <w:fldChar w:fldCharType="begin"/>
            </w:r>
            <w:r w:rsidRPr="00E0769F">
              <w:rPr>
                <w:rFonts w:ascii="Arial" w:hAnsi="Arial"/>
                <w:bCs/>
                <w:sz w:val="20"/>
              </w:rPr>
              <w:instrText>NUMPAGES</w:instrText>
            </w:r>
            <w:r w:rsidRPr="00E0769F">
              <w:rPr>
                <w:rFonts w:ascii="Arial" w:hAnsi="Arial"/>
                <w:bCs/>
                <w:sz w:val="20"/>
              </w:rPr>
              <w:fldChar w:fldCharType="separate"/>
            </w:r>
            <w:r w:rsidR="00D83819">
              <w:rPr>
                <w:rFonts w:ascii="Arial" w:hAnsi="Arial"/>
                <w:bCs/>
                <w:noProof/>
                <w:sz w:val="20"/>
              </w:rPr>
              <w:t>4</w:t>
            </w:r>
            <w:r w:rsidRPr="00E0769F">
              <w:rPr>
                <w:rFonts w:ascii="Arial" w:hAnsi="Arial"/>
                <w:bCs/>
                <w:sz w:val="20"/>
              </w:rPr>
              <w:fldChar w:fldCharType="end"/>
            </w:r>
          </w:p>
        </w:sdtContent>
      </w:sdt>
    </w:sdtContent>
  </w:sdt>
  <w:p w:rsidR="006426CD" w:rsidRDefault="006426CD" w:rsidP="00E0769F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EAB" w:rsidRDefault="00257EAB" w:rsidP="00FD2BE4">
      <w:pPr>
        <w:spacing w:after="0" w:line="240" w:lineRule="auto"/>
      </w:pPr>
      <w:r>
        <w:separator/>
      </w:r>
    </w:p>
  </w:footnote>
  <w:footnote w:type="continuationSeparator" w:id="0">
    <w:p w:rsidR="00257EAB" w:rsidRDefault="00257EAB" w:rsidP="00FD2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6CD" w:rsidRPr="00DE46CC" w:rsidRDefault="006426CD" w:rsidP="00D83819">
    <w:pPr>
      <w:pStyle w:val="Heather"/>
      <w:pBdr>
        <w:bottom w:val="single" w:sz="4" w:space="0" w:color="595959" w:themeColor="text1" w:themeTint="A6"/>
      </w:pBdr>
      <w:ind w:left="2127"/>
    </w:pPr>
    <w:r>
      <w:t xml:space="preserve">ANEXO </w:t>
    </w:r>
    <w:r w:rsidR="00AB663F">
      <w:t xml:space="preserve">2 Calidad </w:t>
    </w:r>
    <w:r w:rsidR="00D83819">
      <w:t xml:space="preserve">de la Información </w:t>
    </w:r>
    <w:r w:rsidR="00AB663F">
      <w:t xml:space="preserve">y </w:t>
    </w:r>
    <w:r w:rsidR="00D83819">
      <w:t>D</w:t>
    </w:r>
    <w:r w:rsidR="00AB663F">
      <w:t>isponibilidad</w:t>
    </w:r>
    <w:r w:rsidR="00D83819">
      <w:t xml:space="preserve"> de la telemetría y del servicio de voz</w:t>
    </w:r>
    <w:r w:rsidR="00AB663F">
      <w:br/>
      <w:t xml:space="preserve">Anteproyecto del </w:t>
    </w:r>
    <w:r w:rsidR="00D83819">
      <w:t>06 de abril</w:t>
    </w:r>
    <w:r>
      <w:t xml:space="preserve"> </w:t>
    </w:r>
    <w:r w:rsidRPr="00DE46CC">
      <w:t>de 201</w:t>
    </w:r>
    <w:r w:rsidR="00091504">
      <w:t>7</w:t>
    </w:r>
  </w:p>
  <w:p w:rsidR="006426CD" w:rsidRPr="00DF122D" w:rsidRDefault="006426CD" w:rsidP="006426CD">
    <w:pPr>
      <w:pStyle w:val="Encabezado"/>
      <w:rPr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6D95"/>
    <w:multiLevelType w:val="hybridMultilevel"/>
    <w:tmpl w:val="C03EBC7A"/>
    <w:name w:val="TERMINOS DE SEPARACION LEGAL CFE23"/>
    <w:lvl w:ilvl="0" w:tplc="2F483132">
      <w:start w:val="1"/>
      <w:numFmt w:val="upperRoman"/>
      <w:pStyle w:val="Texto5"/>
      <w:lvlText w:val="%1."/>
      <w:lvlJc w:val="left"/>
      <w:pPr>
        <w:ind w:left="1287" w:hanging="360"/>
      </w:pPr>
      <w:rPr>
        <w:rFonts w:hint="default"/>
        <w:b/>
        <w:color w:val="262626" w:themeColor="text1" w:themeTint="D9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B58626C"/>
    <w:multiLevelType w:val="hybridMultilevel"/>
    <w:tmpl w:val="1DAA4E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85FE7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3C613E"/>
    <w:multiLevelType w:val="multilevel"/>
    <w:tmpl w:val="0B92505A"/>
    <w:lvl w:ilvl="0">
      <w:start w:val="1"/>
      <w:numFmt w:val="decimal"/>
      <w:pStyle w:val="Captulo"/>
      <w:suff w:val="nothing"/>
      <w:lvlText w:val="CAPÍTULO %1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Seccin"/>
      <w:lvlText w:val="%1.%2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umeral"/>
      <w:lvlText w:val="%1.%2.%3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lowerLetter"/>
      <w:pStyle w:val="Inciso"/>
      <w:lvlText w:val="(%4)"/>
      <w:lvlJc w:val="left"/>
      <w:pPr>
        <w:ind w:left="1418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lowerRoman"/>
      <w:pStyle w:val="Subinciso"/>
      <w:lvlText w:val="(%5)"/>
      <w:lvlJc w:val="left"/>
      <w:pPr>
        <w:ind w:left="1985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upperLetter"/>
      <w:lvlRestart w:val="2"/>
      <w:pStyle w:val="Apartado"/>
      <w:lvlText w:val="(%6)"/>
      <w:lvlJc w:val="left"/>
      <w:pPr>
        <w:ind w:left="2836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upperRoman"/>
      <w:pStyle w:val="Subapartado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lowerLetter"/>
      <w:pStyle w:val="SSInciso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pStyle w:val="SSSubinciso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4">
    <w:nsid w:val="5D350328"/>
    <w:multiLevelType w:val="multilevel"/>
    <w:tmpl w:val="160C317A"/>
    <w:lvl w:ilvl="0">
      <w:start w:val="1"/>
      <w:numFmt w:val="decimal"/>
      <w:pStyle w:val="Ttulo3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2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pacitacion GCRC">
    <w15:presenceInfo w15:providerId="AD" w15:userId="S-1-5-21-1224139075-507196168-3613387102-7404"/>
  </w15:person>
  <w15:person w15:author="Rene Emmanuel Noriega Espinoza">
    <w15:presenceInfo w15:providerId="AD" w15:userId="S-1-5-21-1224139075-507196168-3613387102-2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C3"/>
    <w:rsid w:val="000031AA"/>
    <w:rsid w:val="0000716C"/>
    <w:rsid w:val="000076EE"/>
    <w:rsid w:val="00023E1E"/>
    <w:rsid w:val="000431F9"/>
    <w:rsid w:val="00063203"/>
    <w:rsid w:val="000714B7"/>
    <w:rsid w:val="000719E1"/>
    <w:rsid w:val="000763B9"/>
    <w:rsid w:val="00083A4A"/>
    <w:rsid w:val="00085AB5"/>
    <w:rsid w:val="00091504"/>
    <w:rsid w:val="00093B93"/>
    <w:rsid w:val="00095010"/>
    <w:rsid w:val="000A334D"/>
    <w:rsid w:val="000A480A"/>
    <w:rsid w:val="000B201E"/>
    <w:rsid w:val="000B67A7"/>
    <w:rsid w:val="000C310E"/>
    <w:rsid w:val="000C4AF1"/>
    <w:rsid w:val="000C7F05"/>
    <w:rsid w:val="000C7FD9"/>
    <w:rsid w:val="000D5678"/>
    <w:rsid w:val="000D73C7"/>
    <w:rsid w:val="000E6785"/>
    <w:rsid w:val="00105DC9"/>
    <w:rsid w:val="00123DB1"/>
    <w:rsid w:val="00130C64"/>
    <w:rsid w:val="0013785C"/>
    <w:rsid w:val="00137CE5"/>
    <w:rsid w:val="00143B7F"/>
    <w:rsid w:val="00144326"/>
    <w:rsid w:val="00147E84"/>
    <w:rsid w:val="001507B4"/>
    <w:rsid w:val="001567C3"/>
    <w:rsid w:val="001577C5"/>
    <w:rsid w:val="00157AFC"/>
    <w:rsid w:val="001626E5"/>
    <w:rsid w:val="00167239"/>
    <w:rsid w:val="001A23CB"/>
    <w:rsid w:val="001A4705"/>
    <w:rsid w:val="001B14F9"/>
    <w:rsid w:val="001C0824"/>
    <w:rsid w:val="001C6F35"/>
    <w:rsid w:val="001D03A6"/>
    <w:rsid w:val="001D1695"/>
    <w:rsid w:val="001D7ACD"/>
    <w:rsid w:val="001E123C"/>
    <w:rsid w:val="001E7FBD"/>
    <w:rsid w:val="001F188F"/>
    <w:rsid w:val="001F243D"/>
    <w:rsid w:val="001F4B1B"/>
    <w:rsid w:val="001F6030"/>
    <w:rsid w:val="002016E9"/>
    <w:rsid w:val="002127FF"/>
    <w:rsid w:val="00215E5B"/>
    <w:rsid w:val="0023355B"/>
    <w:rsid w:val="002351D2"/>
    <w:rsid w:val="002411DD"/>
    <w:rsid w:val="002507C1"/>
    <w:rsid w:val="00257EAB"/>
    <w:rsid w:val="00276B9E"/>
    <w:rsid w:val="002940C4"/>
    <w:rsid w:val="0029420D"/>
    <w:rsid w:val="002A5D64"/>
    <w:rsid w:val="002C5A73"/>
    <w:rsid w:val="002D6685"/>
    <w:rsid w:val="002F7E4F"/>
    <w:rsid w:val="00301D77"/>
    <w:rsid w:val="00305020"/>
    <w:rsid w:val="00315D20"/>
    <w:rsid w:val="00335E40"/>
    <w:rsid w:val="00342066"/>
    <w:rsid w:val="003435A6"/>
    <w:rsid w:val="00344DE6"/>
    <w:rsid w:val="00345EBF"/>
    <w:rsid w:val="0035040E"/>
    <w:rsid w:val="00353AE4"/>
    <w:rsid w:val="00354764"/>
    <w:rsid w:val="00355D3C"/>
    <w:rsid w:val="00386070"/>
    <w:rsid w:val="003910B6"/>
    <w:rsid w:val="003A6AB7"/>
    <w:rsid w:val="003B73AF"/>
    <w:rsid w:val="003C7EDF"/>
    <w:rsid w:val="003D1C92"/>
    <w:rsid w:val="00401F12"/>
    <w:rsid w:val="00404F4C"/>
    <w:rsid w:val="004123DF"/>
    <w:rsid w:val="00412A3B"/>
    <w:rsid w:val="0041692D"/>
    <w:rsid w:val="004476C1"/>
    <w:rsid w:val="0045258D"/>
    <w:rsid w:val="004534B6"/>
    <w:rsid w:val="00461734"/>
    <w:rsid w:val="0046197F"/>
    <w:rsid w:val="00463B8E"/>
    <w:rsid w:val="00465189"/>
    <w:rsid w:val="004837E0"/>
    <w:rsid w:val="00487673"/>
    <w:rsid w:val="004A5E25"/>
    <w:rsid w:val="004C1483"/>
    <w:rsid w:val="004D1463"/>
    <w:rsid w:val="004D2E52"/>
    <w:rsid w:val="004F458F"/>
    <w:rsid w:val="0050789E"/>
    <w:rsid w:val="005238F5"/>
    <w:rsid w:val="00523AF0"/>
    <w:rsid w:val="005272AB"/>
    <w:rsid w:val="00533C0D"/>
    <w:rsid w:val="00533E1D"/>
    <w:rsid w:val="005462E7"/>
    <w:rsid w:val="0056312E"/>
    <w:rsid w:val="0057039E"/>
    <w:rsid w:val="00571720"/>
    <w:rsid w:val="005739D8"/>
    <w:rsid w:val="005A1F79"/>
    <w:rsid w:val="005B39AE"/>
    <w:rsid w:val="005C0894"/>
    <w:rsid w:val="005C4517"/>
    <w:rsid w:val="005C5D3C"/>
    <w:rsid w:val="005D331A"/>
    <w:rsid w:val="005E198A"/>
    <w:rsid w:val="005F6030"/>
    <w:rsid w:val="00604D4F"/>
    <w:rsid w:val="00624B82"/>
    <w:rsid w:val="00625573"/>
    <w:rsid w:val="006426CD"/>
    <w:rsid w:val="00643D12"/>
    <w:rsid w:val="00643E01"/>
    <w:rsid w:val="00656A43"/>
    <w:rsid w:val="00660D28"/>
    <w:rsid w:val="00661164"/>
    <w:rsid w:val="00662E3F"/>
    <w:rsid w:val="00665125"/>
    <w:rsid w:val="0067414E"/>
    <w:rsid w:val="00680447"/>
    <w:rsid w:val="00681DB9"/>
    <w:rsid w:val="00693BE6"/>
    <w:rsid w:val="006A1E14"/>
    <w:rsid w:val="006D1596"/>
    <w:rsid w:val="0072168B"/>
    <w:rsid w:val="007369C8"/>
    <w:rsid w:val="0074563B"/>
    <w:rsid w:val="007540AF"/>
    <w:rsid w:val="00775ED5"/>
    <w:rsid w:val="00785503"/>
    <w:rsid w:val="00785A12"/>
    <w:rsid w:val="007869A7"/>
    <w:rsid w:val="00786B3D"/>
    <w:rsid w:val="00791023"/>
    <w:rsid w:val="0079404A"/>
    <w:rsid w:val="007B0BE9"/>
    <w:rsid w:val="007B14DA"/>
    <w:rsid w:val="007C4398"/>
    <w:rsid w:val="007C6E31"/>
    <w:rsid w:val="007D52DE"/>
    <w:rsid w:val="007D777F"/>
    <w:rsid w:val="007E5DAB"/>
    <w:rsid w:val="007F7F0B"/>
    <w:rsid w:val="00800839"/>
    <w:rsid w:val="00800E58"/>
    <w:rsid w:val="00801ABC"/>
    <w:rsid w:val="00805074"/>
    <w:rsid w:val="00835535"/>
    <w:rsid w:val="00836DC7"/>
    <w:rsid w:val="00856377"/>
    <w:rsid w:val="008665AC"/>
    <w:rsid w:val="00872702"/>
    <w:rsid w:val="008801CC"/>
    <w:rsid w:val="00880E42"/>
    <w:rsid w:val="0088517B"/>
    <w:rsid w:val="00885FB8"/>
    <w:rsid w:val="00890427"/>
    <w:rsid w:val="00893B1B"/>
    <w:rsid w:val="008A0F27"/>
    <w:rsid w:val="008A466A"/>
    <w:rsid w:val="008A4C78"/>
    <w:rsid w:val="008C2C96"/>
    <w:rsid w:val="008C6319"/>
    <w:rsid w:val="008E1A5E"/>
    <w:rsid w:val="008E6A74"/>
    <w:rsid w:val="008F5A56"/>
    <w:rsid w:val="008F64D0"/>
    <w:rsid w:val="0092654D"/>
    <w:rsid w:val="00930E14"/>
    <w:rsid w:val="00931DE9"/>
    <w:rsid w:val="00973F58"/>
    <w:rsid w:val="00976DB3"/>
    <w:rsid w:val="00980F1C"/>
    <w:rsid w:val="00996742"/>
    <w:rsid w:val="009A2D88"/>
    <w:rsid w:val="009A6B2C"/>
    <w:rsid w:val="009B1600"/>
    <w:rsid w:val="009B1EE9"/>
    <w:rsid w:val="009E350C"/>
    <w:rsid w:val="009E674B"/>
    <w:rsid w:val="009E6F34"/>
    <w:rsid w:val="009E7289"/>
    <w:rsid w:val="009F56DF"/>
    <w:rsid w:val="009F7A71"/>
    <w:rsid w:val="00A249DF"/>
    <w:rsid w:val="00A27C56"/>
    <w:rsid w:val="00A31ED0"/>
    <w:rsid w:val="00A34ABD"/>
    <w:rsid w:val="00A5621C"/>
    <w:rsid w:val="00A57D92"/>
    <w:rsid w:val="00A65C4D"/>
    <w:rsid w:val="00A74191"/>
    <w:rsid w:val="00A74C70"/>
    <w:rsid w:val="00A8270A"/>
    <w:rsid w:val="00A863A4"/>
    <w:rsid w:val="00A92AC1"/>
    <w:rsid w:val="00A93F2A"/>
    <w:rsid w:val="00A96A8C"/>
    <w:rsid w:val="00AB08F4"/>
    <w:rsid w:val="00AB1068"/>
    <w:rsid w:val="00AB663F"/>
    <w:rsid w:val="00AB690D"/>
    <w:rsid w:val="00AB7B58"/>
    <w:rsid w:val="00B17065"/>
    <w:rsid w:val="00B1728A"/>
    <w:rsid w:val="00B32688"/>
    <w:rsid w:val="00B56A6E"/>
    <w:rsid w:val="00B56F91"/>
    <w:rsid w:val="00B75C4F"/>
    <w:rsid w:val="00B94460"/>
    <w:rsid w:val="00BA668C"/>
    <w:rsid w:val="00BB0BF0"/>
    <w:rsid w:val="00BB3505"/>
    <w:rsid w:val="00BB6E3D"/>
    <w:rsid w:val="00BC7E03"/>
    <w:rsid w:val="00BF024E"/>
    <w:rsid w:val="00BF6CB7"/>
    <w:rsid w:val="00C01299"/>
    <w:rsid w:val="00C028A3"/>
    <w:rsid w:val="00C0770A"/>
    <w:rsid w:val="00C2065F"/>
    <w:rsid w:val="00C25C5A"/>
    <w:rsid w:val="00C2742D"/>
    <w:rsid w:val="00C37287"/>
    <w:rsid w:val="00C41DDC"/>
    <w:rsid w:val="00C553BF"/>
    <w:rsid w:val="00C62341"/>
    <w:rsid w:val="00C93DE1"/>
    <w:rsid w:val="00C94676"/>
    <w:rsid w:val="00CB501A"/>
    <w:rsid w:val="00CB7F04"/>
    <w:rsid w:val="00CD097C"/>
    <w:rsid w:val="00CD23E3"/>
    <w:rsid w:val="00CD3BB4"/>
    <w:rsid w:val="00CE3505"/>
    <w:rsid w:val="00D0618C"/>
    <w:rsid w:val="00D142D8"/>
    <w:rsid w:val="00D15114"/>
    <w:rsid w:val="00D17369"/>
    <w:rsid w:val="00D17778"/>
    <w:rsid w:val="00D216B9"/>
    <w:rsid w:val="00D40503"/>
    <w:rsid w:val="00D41BE2"/>
    <w:rsid w:val="00D43EEC"/>
    <w:rsid w:val="00D501A9"/>
    <w:rsid w:val="00D51476"/>
    <w:rsid w:val="00D51AD5"/>
    <w:rsid w:val="00D53D56"/>
    <w:rsid w:val="00D55478"/>
    <w:rsid w:val="00D83819"/>
    <w:rsid w:val="00D916BA"/>
    <w:rsid w:val="00D9462F"/>
    <w:rsid w:val="00DB4AAA"/>
    <w:rsid w:val="00DB5EB5"/>
    <w:rsid w:val="00DD5B4D"/>
    <w:rsid w:val="00DF2DE1"/>
    <w:rsid w:val="00DF466B"/>
    <w:rsid w:val="00DF58A7"/>
    <w:rsid w:val="00E0215A"/>
    <w:rsid w:val="00E0228A"/>
    <w:rsid w:val="00E0769F"/>
    <w:rsid w:val="00E17617"/>
    <w:rsid w:val="00E4081A"/>
    <w:rsid w:val="00E43DC6"/>
    <w:rsid w:val="00E43ECA"/>
    <w:rsid w:val="00E455A6"/>
    <w:rsid w:val="00E52406"/>
    <w:rsid w:val="00E608BB"/>
    <w:rsid w:val="00E7279A"/>
    <w:rsid w:val="00E737BF"/>
    <w:rsid w:val="00E9141E"/>
    <w:rsid w:val="00E93443"/>
    <w:rsid w:val="00EA2F88"/>
    <w:rsid w:val="00EA50AD"/>
    <w:rsid w:val="00EC05D4"/>
    <w:rsid w:val="00EC1248"/>
    <w:rsid w:val="00EC165A"/>
    <w:rsid w:val="00EC7BAA"/>
    <w:rsid w:val="00ED6B77"/>
    <w:rsid w:val="00EF2760"/>
    <w:rsid w:val="00EF73AC"/>
    <w:rsid w:val="00F1430E"/>
    <w:rsid w:val="00F20A10"/>
    <w:rsid w:val="00F40D19"/>
    <w:rsid w:val="00F45723"/>
    <w:rsid w:val="00F50261"/>
    <w:rsid w:val="00F622E7"/>
    <w:rsid w:val="00F72F7F"/>
    <w:rsid w:val="00F923E0"/>
    <w:rsid w:val="00FA1865"/>
    <w:rsid w:val="00FC0709"/>
    <w:rsid w:val="00FD2BE4"/>
    <w:rsid w:val="00FD4135"/>
    <w:rsid w:val="00FD6D72"/>
    <w:rsid w:val="00FD7C93"/>
    <w:rsid w:val="00FF0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aliases w:val="Heading 3 Char1,h3 Char Char,Heading 3 Char Char,h3 Char,h3"/>
    <w:basedOn w:val="Normal"/>
    <w:next w:val="Normal"/>
    <w:link w:val="Ttulo3Car"/>
    <w:uiPriority w:val="9"/>
    <w:unhideWhenUsed/>
    <w:qFormat/>
    <w:rsid w:val="001C0824"/>
    <w:pPr>
      <w:keepNext/>
      <w:keepLines/>
      <w:numPr>
        <w:numId w:val="11"/>
      </w:numPr>
      <w:tabs>
        <w:tab w:val="left" w:pos="567"/>
      </w:tabs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paragraph" w:styleId="Ttulo6">
    <w:name w:val="heading 6"/>
    <w:basedOn w:val="Normal"/>
    <w:next w:val="Normal"/>
    <w:link w:val="Ttulo6Car"/>
    <w:uiPriority w:val="99"/>
    <w:unhideWhenUsed/>
    <w:rsid w:val="001C0824"/>
    <w:pPr>
      <w:keepNext/>
      <w:keepLines/>
      <w:tabs>
        <w:tab w:val="left" w:pos="567"/>
      </w:tabs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tulo">
    <w:name w:val="Capítulo"/>
    <w:basedOn w:val="Normal"/>
    <w:autoRedefine/>
    <w:qFormat/>
    <w:rsid w:val="00A863A4"/>
    <w:pPr>
      <w:keepNext/>
      <w:numPr>
        <w:numId w:val="3"/>
      </w:numPr>
      <w:pBdr>
        <w:bottom w:val="single" w:sz="12" w:space="1" w:color="auto"/>
      </w:pBdr>
      <w:spacing w:before="840" w:after="840" w:line="240" w:lineRule="auto"/>
      <w:jc w:val="center"/>
    </w:pPr>
    <w:rPr>
      <w:rFonts w:ascii="Arial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AB1068"/>
    <w:pPr>
      <w:keepNext/>
      <w:numPr>
        <w:ilvl w:val="1"/>
        <w:numId w:val="3"/>
      </w:numPr>
      <w:tabs>
        <w:tab w:val="left" w:pos="851"/>
      </w:tabs>
      <w:spacing w:before="300" w:after="180" w:line="240" w:lineRule="auto"/>
    </w:pPr>
    <w:rPr>
      <w:rFonts w:ascii="Arial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AB1068"/>
    <w:pPr>
      <w:numPr>
        <w:ilvl w:val="2"/>
        <w:numId w:val="3"/>
      </w:numPr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AB1068"/>
    <w:rPr>
      <w:rFonts w:ascii="Arial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AB1068"/>
    <w:rPr>
      <w:rFonts w:ascii="Arial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AB1068"/>
    <w:pPr>
      <w:numPr>
        <w:ilvl w:val="3"/>
        <w:numId w:val="3"/>
      </w:numPr>
      <w:tabs>
        <w:tab w:val="left" w:pos="567"/>
      </w:tabs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AB1068"/>
    <w:rPr>
      <w:rFonts w:ascii="Arial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AB1068"/>
    <w:pPr>
      <w:numPr>
        <w:ilvl w:val="4"/>
        <w:numId w:val="3"/>
      </w:numPr>
      <w:tabs>
        <w:tab w:val="left" w:pos="567"/>
      </w:tabs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SubincisoCar">
    <w:name w:val="Subinciso Car"/>
    <w:basedOn w:val="Fuentedeprrafopredeter"/>
    <w:link w:val="Subinciso"/>
    <w:rsid w:val="00AB1068"/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link w:val="ApartadoCar"/>
    <w:qFormat/>
    <w:rsid w:val="00AB1068"/>
    <w:pPr>
      <w:numPr>
        <w:ilvl w:val="5"/>
        <w:numId w:val="3"/>
      </w:numPr>
      <w:spacing w:before="12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ApartadoCar">
    <w:name w:val="Apartado Car"/>
    <w:basedOn w:val="Fuentedeprrafopredeter"/>
    <w:link w:val="Apartado"/>
    <w:rsid w:val="00AB1068"/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AB1068"/>
    <w:pPr>
      <w:numPr>
        <w:ilvl w:val="7"/>
        <w:numId w:val="3"/>
      </w:numPr>
      <w:tabs>
        <w:tab w:val="left" w:pos="567"/>
      </w:tabs>
      <w:spacing w:before="180" w:after="120" w:line="240" w:lineRule="auto"/>
      <w:jc w:val="both"/>
    </w:pPr>
    <w:rPr>
      <w:rFonts w:ascii="Calibri" w:hAnsi="Calibri" w:cs="Arial"/>
      <w:sz w:val="24"/>
      <w:lang w:bidi="en-US"/>
    </w:rPr>
  </w:style>
  <w:style w:type="paragraph" w:customStyle="1" w:styleId="SSSubinciso">
    <w:name w:val="SS Subinciso"/>
    <w:basedOn w:val="Normal"/>
    <w:rsid w:val="00AB1068"/>
    <w:pPr>
      <w:numPr>
        <w:ilvl w:val="8"/>
        <w:numId w:val="3"/>
      </w:numPr>
      <w:tabs>
        <w:tab w:val="left" w:pos="567"/>
      </w:tabs>
      <w:spacing w:before="180" w:after="120" w:line="240" w:lineRule="auto"/>
      <w:jc w:val="both"/>
    </w:pPr>
    <w:rPr>
      <w:rFonts w:ascii="Calibri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AB1068"/>
    <w:pPr>
      <w:numPr>
        <w:ilvl w:val="6"/>
        <w:numId w:val="3"/>
      </w:numPr>
      <w:tabs>
        <w:tab w:val="left" w:pos="567"/>
      </w:tabs>
      <w:spacing w:before="120" w:after="120" w:line="240" w:lineRule="auto"/>
      <w:jc w:val="both"/>
    </w:pPr>
    <w:rPr>
      <w:rFonts w:ascii="Arial" w:hAnsi="Arial" w:cs="Arial"/>
      <w:sz w:val="20"/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1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106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D2BE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D2BE4"/>
    <w:rPr>
      <w:rFonts w:ascii="Calibri" w:eastAsiaTheme="minorEastAsia" w:hAnsi="Calibri" w:cs="Arial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FD2BE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hAnsi="Calibri" w:cs="Arial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D2BE4"/>
    <w:rPr>
      <w:rFonts w:ascii="Calibri" w:eastAsiaTheme="minorEastAsia" w:hAnsi="Calibri" w:cs="Arial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D2BE4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7E5DAB"/>
    <w:pPr>
      <w:tabs>
        <w:tab w:val="left" w:pos="567"/>
        <w:tab w:val="right" w:leader="dot" w:pos="8789"/>
      </w:tabs>
      <w:spacing w:after="100" w:line="240" w:lineRule="auto"/>
      <w:ind w:left="567" w:hanging="567"/>
    </w:pPr>
    <w:rPr>
      <w:rFonts w:ascii="Arial" w:hAnsi="Arial" w:cs="Arial"/>
      <w:noProof/>
      <w:snapToGrid w:val="0"/>
      <w:w w:val="0"/>
      <w:sz w:val="20"/>
      <w:szCs w:val="20"/>
      <w:lang w:bidi="en-US"/>
    </w:rPr>
  </w:style>
  <w:style w:type="paragraph" w:customStyle="1" w:styleId="Contenido">
    <w:name w:val="Contenido"/>
    <w:basedOn w:val="Normal"/>
    <w:link w:val="ContenidoCar"/>
    <w:qFormat/>
    <w:rsid w:val="00FD2BE4"/>
    <w:pPr>
      <w:tabs>
        <w:tab w:val="left" w:pos="567"/>
      </w:tabs>
      <w:spacing w:before="180" w:after="360" w:line="240" w:lineRule="auto"/>
      <w:jc w:val="center"/>
    </w:pPr>
    <w:rPr>
      <w:rFonts w:ascii="Calibri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FD2BE4"/>
    <w:rPr>
      <w:rFonts w:ascii="Calibri" w:eastAsiaTheme="minorEastAsia" w:hAnsi="Calibri" w:cs="Arial"/>
      <w:b/>
      <w:sz w:val="32"/>
      <w:lang w:bidi="en-US"/>
    </w:rPr>
  </w:style>
  <w:style w:type="paragraph" w:customStyle="1" w:styleId="Heather">
    <w:name w:val="Heather"/>
    <w:basedOn w:val="Encabezado"/>
    <w:link w:val="HeatherCar"/>
    <w:rsid w:val="00FD2BE4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D2BE4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D2BE4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FD2BE4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FD2BE4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D2BE4"/>
    <w:rPr>
      <w:rFonts w:ascii="Calibri" w:eastAsia="Calibri" w:hAnsi="Calibri" w:cs="Arial"/>
      <w:sz w:val="48"/>
      <w:szCs w:val="24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FD2BE4"/>
  </w:style>
  <w:style w:type="character" w:styleId="Refdecomentario">
    <w:name w:val="annotation reference"/>
    <w:basedOn w:val="Fuentedeprrafopredeter"/>
    <w:uiPriority w:val="99"/>
    <w:unhideWhenUsed/>
    <w:rsid w:val="00DF2D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F2DE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DE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2D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2DE1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FD7C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MANOS">
    <w:name w:val="ROMANOS"/>
    <w:basedOn w:val="Normal"/>
    <w:link w:val="ROMANOSCar"/>
    <w:rsid w:val="00FD7C93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/>
    </w:rPr>
  </w:style>
  <w:style w:type="character" w:customStyle="1" w:styleId="ROMANOSCar">
    <w:name w:val="ROMANOS Car"/>
    <w:link w:val="ROMANOS"/>
    <w:locked/>
    <w:rsid w:val="00FD7C93"/>
    <w:rPr>
      <w:rFonts w:ascii="Arial" w:eastAsia="Times New Roman" w:hAnsi="Arial" w:cs="Arial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0A334D"/>
    <w:pPr>
      <w:ind w:left="720"/>
      <w:contextualSpacing/>
    </w:pPr>
  </w:style>
  <w:style w:type="paragraph" w:customStyle="1" w:styleId="Texto5">
    <w:name w:val="Texto 5"/>
    <w:basedOn w:val="Normal"/>
    <w:rsid w:val="0092654D"/>
    <w:pPr>
      <w:numPr>
        <w:numId w:val="10"/>
      </w:numPr>
      <w:tabs>
        <w:tab w:val="left" w:pos="567"/>
      </w:tabs>
      <w:spacing w:before="120" w:after="120" w:line="240" w:lineRule="auto"/>
      <w:ind w:left="993" w:hanging="426"/>
      <w:jc w:val="both"/>
    </w:pPr>
    <w:rPr>
      <w:rFonts w:ascii="Calibri" w:hAnsi="Calibri" w:cs="Arial"/>
      <w:sz w:val="24"/>
      <w:lang w:eastAsia="en-US" w:bidi="en-US"/>
    </w:rPr>
  </w:style>
  <w:style w:type="character" w:customStyle="1" w:styleId="Ttulo3Car">
    <w:name w:val="Título 3 Car"/>
    <w:aliases w:val="Heading 3 Char1 Car,h3 Char Char Car,Heading 3 Char Char Car,h3 Char Car,h3 Car"/>
    <w:basedOn w:val="Fuentedeprrafopredeter"/>
    <w:link w:val="Ttulo3"/>
    <w:uiPriority w:val="9"/>
    <w:rsid w:val="001C08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tulo6Car">
    <w:name w:val="Título 6 Car"/>
    <w:basedOn w:val="Fuentedeprrafopredeter"/>
    <w:link w:val="Ttulo6"/>
    <w:uiPriority w:val="99"/>
    <w:rsid w:val="001C08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paragraph" w:styleId="Revisin">
    <w:name w:val="Revision"/>
    <w:hidden/>
    <w:uiPriority w:val="99"/>
    <w:semiHidden/>
    <w:rsid w:val="00A562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aliases w:val="Heading 3 Char1,h3 Char Char,Heading 3 Char Char,h3 Char,h3"/>
    <w:basedOn w:val="Normal"/>
    <w:next w:val="Normal"/>
    <w:link w:val="Ttulo3Car"/>
    <w:uiPriority w:val="9"/>
    <w:unhideWhenUsed/>
    <w:qFormat/>
    <w:rsid w:val="001C0824"/>
    <w:pPr>
      <w:keepNext/>
      <w:keepLines/>
      <w:numPr>
        <w:numId w:val="11"/>
      </w:numPr>
      <w:tabs>
        <w:tab w:val="left" w:pos="567"/>
      </w:tabs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paragraph" w:styleId="Ttulo6">
    <w:name w:val="heading 6"/>
    <w:basedOn w:val="Normal"/>
    <w:next w:val="Normal"/>
    <w:link w:val="Ttulo6Car"/>
    <w:uiPriority w:val="99"/>
    <w:unhideWhenUsed/>
    <w:rsid w:val="001C0824"/>
    <w:pPr>
      <w:keepNext/>
      <w:keepLines/>
      <w:tabs>
        <w:tab w:val="left" w:pos="567"/>
      </w:tabs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tulo">
    <w:name w:val="Capítulo"/>
    <w:basedOn w:val="Normal"/>
    <w:autoRedefine/>
    <w:qFormat/>
    <w:rsid w:val="00A863A4"/>
    <w:pPr>
      <w:keepNext/>
      <w:numPr>
        <w:numId w:val="3"/>
      </w:numPr>
      <w:pBdr>
        <w:bottom w:val="single" w:sz="12" w:space="1" w:color="auto"/>
      </w:pBdr>
      <w:spacing w:before="840" w:after="840" w:line="240" w:lineRule="auto"/>
      <w:jc w:val="center"/>
    </w:pPr>
    <w:rPr>
      <w:rFonts w:ascii="Arial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AB1068"/>
    <w:pPr>
      <w:keepNext/>
      <w:numPr>
        <w:ilvl w:val="1"/>
        <w:numId w:val="3"/>
      </w:numPr>
      <w:tabs>
        <w:tab w:val="left" w:pos="851"/>
      </w:tabs>
      <w:spacing w:before="300" w:after="180" w:line="240" w:lineRule="auto"/>
    </w:pPr>
    <w:rPr>
      <w:rFonts w:ascii="Arial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AB1068"/>
    <w:pPr>
      <w:numPr>
        <w:ilvl w:val="2"/>
        <w:numId w:val="3"/>
      </w:numPr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AB1068"/>
    <w:rPr>
      <w:rFonts w:ascii="Arial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AB1068"/>
    <w:rPr>
      <w:rFonts w:ascii="Arial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AB1068"/>
    <w:pPr>
      <w:numPr>
        <w:ilvl w:val="3"/>
        <w:numId w:val="3"/>
      </w:numPr>
      <w:tabs>
        <w:tab w:val="left" w:pos="567"/>
      </w:tabs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AB1068"/>
    <w:rPr>
      <w:rFonts w:ascii="Arial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AB1068"/>
    <w:pPr>
      <w:numPr>
        <w:ilvl w:val="4"/>
        <w:numId w:val="3"/>
      </w:numPr>
      <w:tabs>
        <w:tab w:val="left" w:pos="567"/>
      </w:tabs>
      <w:spacing w:before="18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SubincisoCar">
    <w:name w:val="Subinciso Car"/>
    <w:basedOn w:val="Fuentedeprrafopredeter"/>
    <w:link w:val="Subinciso"/>
    <w:rsid w:val="00AB1068"/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link w:val="ApartadoCar"/>
    <w:qFormat/>
    <w:rsid w:val="00AB1068"/>
    <w:pPr>
      <w:numPr>
        <w:ilvl w:val="5"/>
        <w:numId w:val="3"/>
      </w:numPr>
      <w:spacing w:before="120" w:after="120" w:line="240" w:lineRule="auto"/>
      <w:jc w:val="both"/>
    </w:pPr>
    <w:rPr>
      <w:rFonts w:ascii="Arial" w:hAnsi="Arial" w:cs="Arial"/>
      <w:sz w:val="20"/>
      <w:lang w:bidi="en-US"/>
    </w:rPr>
  </w:style>
  <w:style w:type="character" w:customStyle="1" w:styleId="ApartadoCar">
    <w:name w:val="Apartado Car"/>
    <w:basedOn w:val="Fuentedeprrafopredeter"/>
    <w:link w:val="Apartado"/>
    <w:rsid w:val="00AB1068"/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AB1068"/>
    <w:pPr>
      <w:numPr>
        <w:ilvl w:val="7"/>
        <w:numId w:val="3"/>
      </w:numPr>
      <w:tabs>
        <w:tab w:val="left" w:pos="567"/>
      </w:tabs>
      <w:spacing w:before="180" w:after="120" w:line="240" w:lineRule="auto"/>
      <w:jc w:val="both"/>
    </w:pPr>
    <w:rPr>
      <w:rFonts w:ascii="Calibri" w:hAnsi="Calibri" w:cs="Arial"/>
      <w:sz w:val="24"/>
      <w:lang w:bidi="en-US"/>
    </w:rPr>
  </w:style>
  <w:style w:type="paragraph" w:customStyle="1" w:styleId="SSSubinciso">
    <w:name w:val="SS Subinciso"/>
    <w:basedOn w:val="Normal"/>
    <w:rsid w:val="00AB1068"/>
    <w:pPr>
      <w:numPr>
        <w:ilvl w:val="8"/>
        <w:numId w:val="3"/>
      </w:numPr>
      <w:tabs>
        <w:tab w:val="left" w:pos="567"/>
      </w:tabs>
      <w:spacing w:before="180" w:after="120" w:line="240" w:lineRule="auto"/>
      <w:jc w:val="both"/>
    </w:pPr>
    <w:rPr>
      <w:rFonts w:ascii="Calibri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AB1068"/>
    <w:pPr>
      <w:numPr>
        <w:ilvl w:val="6"/>
        <w:numId w:val="3"/>
      </w:numPr>
      <w:tabs>
        <w:tab w:val="left" w:pos="567"/>
      </w:tabs>
      <w:spacing w:before="120" w:after="120" w:line="240" w:lineRule="auto"/>
      <w:jc w:val="both"/>
    </w:pPr>
    <w:rPr>
      <w:rFonts w:ascii="Arial" w:hAnsi="Arial" w:cs="Arial"/>
      <w:sz w:val="20"/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1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106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D2BE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D2BE4"/>
    <w:rPr>
      <w:rFonts w:ascii="Calibri" w:eastAsiaTheme="minorEastAsia" w:hAnsi="Calibri" w:cs="Arial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FD2BE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hAnsi="Calibri" w:cs="Arial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D2BE4"/>
    <w:rPr>
      <w:rFonts w:ascii="Calibri" w:eastAsiaTheme="minorEastAsia" w:hAnsi="Calibri" w:cs="Arial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D2BE4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7E5DAB"/>
    <w:pPr>
      <w:tabs>
        <w:tab w:val="left" w:pos="567"/>
        <w:tab w:val="right" w:leader="dot" w:pos="8789"/>
      </w:tabs>
      <w:spacing w:after="100" w:line="240" w:lineRule="auto"/>
      <w:ind w:left="567" w:hanging="567"/>
    </w:pPr>
    <w:rPr>
      <w:rFonts w:ascii="Arial" w:hAnsi="Arial" w:cs="Arial"/>
      <w:noProof/>
      <w:snapToGrid w:val="0"/>
      <w:w w:val="0"/>
      <w:sz w:val="20"/>
      <w:szCs w:val="20"/>
      <w:lang w:bidi="en-US"/>
    </w:rPr>
  </w:style>
  <w:style w:type="paragraph" w:customStyle="1" w:styleId="Contenido">
    <w:name w:val="Contenido"/>
    <w:basedOn w:val="Normal"/>
    <w:link w:val="ContenidoCar"/>
    <w:qFormat/>
    <w:rsid w:val="00FD2BE4"/>
    <w:pPr>
      <w:tabs>
        <w:tab w:val="left" w:pos="567"/>
      </w:tabs>
      <w:spacing w:before="180" w:after="360" w:line="240" w:lineRule="auto"/>
      <w:jc w:val="center"/>
    </w:pPr>
    <w:rPr>
      <w:rFonts w:ascii="Calibri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FD2BE4"/>
    <w:rPr>
      <w:rFonts w:ascii="Calibri" w:eastAsiaTheme="minorEastAsia" w:hAnsi="Calibri" w:cs="Arial"/>
      <w:b/>
      <w:sz w:val="32"/>
      <w:lang w:bidi="en-US"/>
    </w:rPr>
  </w:style>
  <w:style w:type="paragraph" w:customStyle="1" w:styleId="Heather">
    <w:name w:val="Heather"/>
    <w:basedOn w:val="Encabezado"/>
    <w:link w:val="HeatherCar"/>
    <w:rsid w:val="00FD2BE4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D2BE4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D2BE4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FD2BE4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FD2BE4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D2BE4"/>
    <w:rPr>
      <w:rFonts w:ascii="Calibri" w:eastAsia="Calibri" w:hAnsi="Calibri" w:cs="Arial"/>
      <w:sz w:val="48"/>
      <w:szCs w:val="24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FD2BE4"/>
  </w:style>
  <w:style w:type="character" w:styleId="Refdecomentario">
    <w:name w:val="annotation reference"/>
    <w:basedOn w:val="Fuentedeprrafopredeter"/>
    <w:uiPriority w:val="99"/>
    <w:unhideWhenUsed/>
    <w:rsid w:val="00DF2D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F2DE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DE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F2D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F2DE1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FD7C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MANOS">
    <w:name w:val="ROMANOS"/>
    <w:basedOn w:val="Normal"/>
    <w:link w:val="ROMANOSCar"/>
    <w:rsid w:val="00FD7C93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/>
    </w:rPr>
  </w:style>
  <w:style w:type="character" w:customStyle="1" w:styleId="ROMANOSCar">
    <w:name w:val="ROMANOS Car"/>
    <w:link w:val="ROMANOS"/>
    <w:locked/>
    <w:rsid w:val="00FD7C93"/>
    <w:rPr>
      <w:rFonts w:ascii="Arial" w:eastAsia="Times New Roman" w:hAnsi="Arial" w:cs="Arial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0A334D"/>
    <w:pPr>
      <w:ind w:left="720"/>
      <w:contextualSpacing/>
    </w:pPr>
  </w:style>
  <w:style w:type="paragraph" w:customStyle="1" w:styleId="Texto5">
    <w:name w:val="Texto 5"/>
    <w:basedOn w:val="Normal"/>
    <w:rsid w:val="0092654D"/>
    <w:pPr>
      <w:numPr>
        <w:numId w:val="10"/>
      </w:numPr>
      <w:tabs>
        <w:tab w:val="left" w:pos="567"/>
      </w:tabs>
      <w:spacing w:before="120" w:after="120" w:line="240" w:lineRule="auto"/>
      <w:ind w:left="993" w:hanging="426"/>
      <w:jc w:val="both"/>
    </w:pPr>
    <w:rPr>
      <w:rFonts w:ascii="Calibri" w:hAnsi="Calibri" w:cs="Arial"/>
      <w:sz w:val="24"/>
      <w:lang w:eastAsia="en-US" w:bidi="en-US"/>
    </w:rPr>
  </w:style>
  <w:style w:type="character" w:customStyle="1" w:styleId="Ttulo3Car">
    <w:name w:val="Título 3 Car"/>
    <w:aliases w:val="Heading 3 Char1 Car,h3 Char Char Car,Heading 3 Char Char Car,h3 Char Car,h3 Car"/>
    <w:basedOn w:val="Fuentedeprrafopredeter"/>
    <w:link w:val="Ttulo3"/>
    <w:uiPriority w:val="9"/>
    <w:rsid w:val="001C08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tulo6Car">
    <w:name w:val="Título 6 Car"/>
    <w:basedOn w:val="Fuentedeprrafopredeter"/>
    <w:link w:val="Ttulo6"/>
    <w:uiPriority w:val="99"/>
    <w:rsid w:val="001C08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paragraph" w:styleId="Revisin">
    <w:name w:val="Revision"/>
    <w:hidden/>
    <w:uiPriority w:val="99"/>
    <w:semiHidden/>
    <w:rsid w:val="00A562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C8CD1-855F-432E-8854-20FD7C6C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1338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Emmanuel Noriega Espinoza</dc:creator>
  <cp:lastModifiedBy>Beatriz Castrejon</cp:lastModifiedBy>
  <cp:revision>4</cp:revision>
  <dcterms:created xsi:type="dcterms:W3CDTF">2017-04-01T02:23:00Z</dcterms:created>
  <dcterms:modified xsi:type="dcterms:W3CDTF">2017-04-07T17:44:00Z</dcterms:modified>
</cp:coreProperties>
</file>